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drawings/drawing6.xml" ContentType="application/vnd.openxmlformats-officedocument.drawingml.chartshapes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7.xml" ContentType="application/vnd.openxmlformats-officedocument.themeOverride+xml"/>
  <Override PartName="/word/drawings/drawing10.xml" ContentType="application/vnd.openxmlformats-officedocument.drawingml.chartshapes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C8B" w14:textId="540F00EC" w:rsidR="004E5468" w:rsidRDefault="00046060" w:rsidP="004E5468">
      <w:pPr>
        <w:pStyle w:val="Sinespaciado"/>
        <w:rPr>
          <w:noProof/>
        </w:rPr>
      </w:pPr>
      <w:bookmarkStart w:id="0" w:name="_Hlk49250386"/>
      <w:bookmarkStart w:id="1" w:name="_Toc410402057"/>
      <w:bookmarkStart w:id="2" w:name="_Toc457550818"/>
      <w:bookmarkEnd w:id="0"/>
      <w:r>
        <w:rPr>
          <w:rFonts w:ascii="Times New Roman" w:hAnsi="Times New Roman" w:cs="Times New Roman"/>
          <w:sz w:val="2"/>
          <w:szCs w:val="24"/>
          <w:lang w:val="es-ES_tradnl" w:eastAsia="es-ES"/>
        </w:rPr>
        <w:tab/>
      </w:r>
    </w:p>
    <w:sdt>
      <w:sdtPr>
        <w:id w:val="13922259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7F76942" w14:textId="415DBC1F" w:rsidR="004E5468" w:rsidRPr="00954142" w:rsidRDefault="004E5468">
          <w:r w:rsidRPr="0095414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72" behindDoc="0" locked="0" layoutInCell="1" allowOverlap="1" wp14:anchorId="698E0BB9" wp14:editId="0964B7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D57A147" id="Grupo 51" o:spid="_x0000_s1026" style="position:absolute;margin-left:0;margin-top:0;width:8in;height:95.7pt;z-index:25168077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9541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8" behindDoc="0" locked="0" layoutInCell="1" allowOverlap="1" wp14:anchorId="64643A13" wp14:editId="4406C75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E0F22" w14:textId="49116B45" w:rsidR="004E5468" w:rsidRPr="00FF1609" w:rsidRDefault="00C10517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</w:pPr>
                                <w:r w:rsidRPr="00FF1609"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  <w:t>Informe Anual</w:t>
                                </w:r>
                                <w:r w:rsidR="00AA58D4"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  <w:t xml:space="preserve"> para el Gobierno General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645757C7" w14:textId="62169BFE" w:rsidR="004E5468" w:rsidRDefault="00C10517" w:rsidP="00CA7491">
                                    <w:pPr>
                                      <w:pStyle w:val="Sinespaciado"/>
                                      <w:spacing w:before="0"/>
                                      <w:jc w:val="right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>Dirección de Análisis y Política Fiscal</w:t>
                                    </w:r>
                                  </w:p>
                                </w:sdtContent>
                              </w:sdt>
                              <w:p w14:paraId="4D8FA549" w14:textId="3B95ECF8" w:rsidR="00FF1609" w:rsidRDefault="00FF1609" w:rsidP="00CA7491">
                                <w:pPr>
                                  <w:pStyle w:val="Sinespaciado"/>
                                  <w:spacing w:before="0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</w:rPr>
                                  <w:t>Ministerio de Finanzas Públicas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4643A1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3" o:spid="_x0000_s1026" type="#_x0000_t202" style="position:absolute;left:0;text-align:left;margin-left:0;margin-top:0;width:8in;height:79.5pt;z-index:25167974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26BE0F22" w14:textId="49116B45" w:rsidR="004E5468" w:rsidRPr="00FF1609" w:rsidRDefault="00C10517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</w:pPr>
                          <w:r w:rsidRPr="00FF1609"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  <w:t>Informe Anual</w:t>
                          </w:r>
                          <w:r w:rsidR="00AA58D4"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  <w:t xml:space="preserve"> para el Gobierno General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5757C7" w14:textId="62169BFE" w:rsidR="004E5468" w:rsidRDefault="00C10517" w:rsidP="00CA7491">
                              <w:pPr>
                                <w:pStyle w:val="Sinespaciado"/>
                                <w:spacing w:before="0"/>
                                <w:jc w:val="righ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Dirección de Análisis y Política Fiscal</w:t>
                              </w:r>
                            </w:p>
                          </w:sdtContent>
                        </w:sdt>
                        <w:p w14:paraId="4D8FA549" w14:textId="3B95ECF8" w:rsidR="00FF1609" w:rsidRDefault="00FF1609" w:rsidP="00CA7491">
                          <w:pPr>
                            <w:pStyle w:val="Sinespaciado"/>
                            <w:spacing w:before="0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>Ministerio de Finanzas Públicas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541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700" behindDoc="0" locked="0" layoutInCell="1" allowOverlap="1" wp14:anchorId="5E7E5FA8" wp14:editId="312891F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F51A0" w14:textId="60E966E5" w:rsidR="004E5468" w:rsidRDefault="00000000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5468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Informe de las Finanzas públicas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D7B22EA" w14:textId="62D462D2" w:rsidR="004E5468" w:rsidRDefault="004E546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Año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E7E5FA8" id="Cuadro de texto 54" o:spid="_x0000_s1027" type="#_x0000_t202" style="position:absolute;left:0;text-align:left;margin-left:0;margin-top:0;width:8in;height:286.5pt;z-index:25167770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05CF51A0" w14:textId="60E966E5" w:rsidR="004E5468" w:rsidRDefault="00000000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5468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Informe de las Finanzas públicas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D7B22EA" w14:textId="62D462D2" w:rsidR="004E5468" w:rsidRDefault="004E546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Año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8D4ABDD" w14:textId="27D7DC3D" w:rsidR="004E5468" w:rsidRPr="00954142" w:rsidRDefault="004E5468">
          <w:pPr>
            <w:spacing w:after="200" w:line="276" w:lineRule="auto"/>
            <w:jc w:val="left"/>
            <w:rPr>
              <w:b/>
              <w:bCs/>
              <w:noProof/>
            </w:rPr>
          </w:pPr>
          <w:r w:rsidRPr="00954142">
            <w:rPr>
              <w:rFonts w:eastAsiaTheme="majorEastAsia" w:cs="Times New Roman"/>
              <w:b/>
              <w:bCs/>
              <w:noProof/>
              <w:color w:val="FF0000"/>
              <w:szCs w:val="26"/>
            </w:rPr>
            <w:drawing>
              <wp:anchor distT="0" distB="0" distL="114300" distR="114300" simplePos="0" relativeHeight="251682820" behindDoc="0" locked="0" layoutInCell="1" allowOverlap="1" wp14:anchorId="12279784" wp14:editId="26D5E24E">
                <wp:simplePos x="0" y="0"/>
                <wp:positionH relativeFrom="margin">
                  <wp:align>center</wp:align>
                </wp:positionH>
                <wp:positionV relativeFrom="paragraph">
                  <wp:posOffset>462271</wp:posOffset>
                </wp:positionV>
                <wp:extent cx="1677670" cy="1845310"/>
                <wp:effectExtent l="0" t="0" r="0" b="2540"/>
                <wp:wrapSquare wrapText="bothSides"/>
                <wp:docPr id="292517484" name="Imagen 292517484" descr="Logotipo, nombre de la empres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26591-938B-AFE1-1A8B-110537A1EC5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517484" name="Imagen 292517484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2026591-938B-AFE1-1A8B-110537A1EC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57" t="14032" r="16881" b="12626"/>
                        <a:stretch/>
                      </pic:blipFill>
                      <pic:spPr bwMode="auto">
                        <a:xfrm>
                          <a:off x="0" y="0"/>
                          <a:ext cx="1677670" cy="1845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54142">
            <w:rPr>
              <w:noProof/>
              <w:sz w:val="22"/>
              <w:szCs w:val="24"/>
              <w:lang w:eastAsia="es-ES"/>
            </w:rPr>
            <w:br w:type="page"/>
          </w:r>
        </w:p>
      </w:sdtContent>
    </w:sdt>
    <w:sdt>
      <w:sdtPr>
        <w:rPr>
          <w:rFonts w:cs="Times New Roman"/>
          <w:b/>
          <w:bCs/>
          <w:caps w:val="0"/>
          <w:color w:val="auto"/>
          <w:spacing w:val="0"/>
          <w:sz w:val="20"/>
          <w:szCs w:val="24"/>
          <w:lang w:val="es-ES" w:eastAsia="es-ES"/>
        </w:rPr>
        <w:id w:val="-1412613934"/>
        <w:docPartObj>
          <w:docPartGallery w:val="Table of Contents"/>
          <w:docPartUnique/>
        </w:docPartObj>
      </w:sdtPr>
      <w:sdtEndPr>
        <w:rPr>
          <w:b w:val="0"/>
          <w:bCs w:val="0"/>
          <w:color w:val="FF0000"/>
          <w:szCs w:val="20"/>
          <w:lang w:eastAsia="en-US"/>
        </w:rPr>
      </w:sdtEndPr>
      <w:sdtContent>
        <w:p w14:paraId="14EA01E7" w14:textId="6B70FE32" w:rsidR="0032588B" w:rsidRPr="00954142" w:rsidRDefault="0032588B" w:rsidP="000D58D6">
          <w:pPr>
            <w:pStyle w:val="TtuloTDC"/>
            <w:jc w:val="center"/>
            <w:rPr>
              <w:rFonts w:cs="Times New Roman"/>
              <w:szCs w:val="24"/>
              <w:lang w:val="es-ES"/>
            </w:rPr>
          </w:pPr>
          <w:r w:rsidRPr="00954142">
            <w:rPr>
              <w:rFonts w:cs="Times New Roman"/>
              <w:szCs w:val="24"/>
              <w:lang w:val="es-ES"/>
            </w:rPr>
            <w:t>Contenido</w:t>
          </w:r>
        </w:p>
        <w:p w14:paraId="6D5D11CE" w14:textId="5002044F" w:rsidR="00B60A1D" w:rsidRDefault="0032588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r w:rsidRPr="00954142">
            <w:rPr>
              <w:color w:val="FF0000"/>
              <w:lang w:val="es-ES_tradnl"/>
            </w:rPr>
            <w:fldChar w:fldCharType="begin"/>
          </w:r>
          <w:r w:rsidRPr="00954142">
            <w:rPr>
              <w:color w:val="FF0000"/>
            </w:rPr>
            <w:instrText xml:space="preserve"> TOC \o "1-3" \h \z \u </w:instrText>
          </w:r>
          <w:r w:rsidRPr="00954142">
            <w:rPr>
              <w:color w:val="FF0000"/>
              <w:lang w:val="es-ES_tradnl"/>
            </w:rPr>
            <w:fldChar w:fldCharType="separate"/>
          </w:r>
          <w:hyperlink w:anchor="_Toc136437461" w:history="1">
            <w:r w:rsidR="00B60A1D" w:rsidRPr="00CC50FD">
              <w:rPr>
                <w:rStyle w:val="Hipervnculo"/>
                <w:lang w:val="es-ES_tradnl" w:eastAsia="es-ES"/>
              </w:rPr>
              <w:t>Introducción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_Toc136437461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2</w:t>
            </w:r>
            <w:r w:rsidR="00B60A1D">
              <w:rPr>
                <w:webHidden/>
              </w:rPr>
              <w:fldChar w:fldCharType="end"/>
            </w:r>
          </w:hyperlink>
        </w:p>
        <w:p w14:paraId="2680F470" w14:textId="4A4EAA4D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62" w:history="1">
            <w:r w:rsidR="00B60A1D" w:rsidRPr="00CC50FD">
              <w:rPr>
                <w:rStyle w:val="Hipervnculo"/>
                <w:lang w:val="es-ES_tradnl" w:eastAsia="es-ES"/>
              </w:rPr>
              <w:t>1.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ES_tradnl" w:eastAsia="es-ES"/>
              </w:rPr>
              <w:t>Ingresos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_Toc136437462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2</w:t>
            </w:r>
            <w:r w:rsidR="00B60A1D">
              <w:rPr>
                <w:webHidden/>
              </w:rPr>
              <w:fldChar w:fldCharType="end"/>
            </w:r>
          </w:hyperlink>
        </w:p>
        <w:p w14:paraId="3C2E360B" w14:textId="55E7ECBD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63" w:history="1">
            <w:r w:rsidR="00B60A1D" w:rsidRPr="00CC50FD">
              <w:rPr>
                <w:rStyle w:val="Hipervnculo"/>
                <w:rFonts w:cs="Times New Roman"/>
                <w:noProof/>
              </w:rPr>
              <w:t>1.1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Los ingresos se incrementaron en 2022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_Toc136437463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2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53DC172A" w14:textId="56E59D2E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64" w:history="1">
            <w:r w:rsidR="00B60A1D" w:rsidRPr="00CC50FD">
              <w:rPr>
                <w:rStyle w:val="Hipervnculo"/>
                <w:rFonts w:cs="Times New Roman"/>
                <w:noProof/>
              </w:rPr>
              <w:t>1.2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La recaudación de impuestos es dinámica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_Toc136437464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3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3D7197ED" w14:textId="40E16756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65" w:history="1">
            <w:r w:rsidR="00B60A1D" w:rsidRPr="00CC50FD">
              <w:rPr>
                <w:rStyle w:val="Hipervnculo"/>
                <w:rFonts w:cs="Times New Roman"/>
                <w:noProof/>
              </w:rPr>
              <w:t>1.3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Las contribuciones sociales continuan creciendo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_Toc136437465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4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49DE27A1" w14:textId="77826A8D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69" w:history="1">
            <w:r w:rsidR="00B60A1D" w:rsidRPr="00CC50FD">
              <w:rPr>
                <w:rStyle w:val="Hipervnculo"/>
                <w:lang w:val="es-ES_tradnl" w:eastAsia="es-ES"/>
              </w:rPr>
              <w:t>2.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ES_tradnl" w:eastAsia="es-ES"/>
              </w:rPr>
              <w:t>Gasto Público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_Toc136437469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4</w:t>
            </w:r>
            <w:r w:rsidR="00B60A1D">
              <w:rPr>
                <w:webHidden/>
              </w:rPr>
              <w:fldChar w:fldCharType="end"/>
            </w:r>
          </w:hyperlink>
        </w:p>
        <w:p w14:paraId="6AA31EBB" w14:textId="373C2A85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3" w:history="1">
            <w:r w:rsidR="00B60A1D" w:rsidRPr="00CC50FD">
              <w:rPr>
                <w:rStyle w:val="Hipervnculo"/>
                <w:rFonts w:cs="Times New Roman"/>
                <w:noProof/>
              </w:rPr>
              <w:t>2.1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Repunte en la ejecución de gasto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_Toc136437473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4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0EDEE492" w14:textId="72D0935D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4" w:history="1">
            <w:r w:rsidR="00B60A1D" w:rsidRPr="00CC50FD">
              <w:rPr>
                <w:rStyle w:val="Hipervnculo"/>
                <w:lang w:val="es-MX"/>
              </w:rPr>
              <w:t>3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MX"/>
              </w:rPr>
              <w:t>Transacciones en Activos No Financieros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_Toc136437474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6</w:t>
            </w:r>
            <w:r w:rsidR="00B60A1D">
              <w:rPr>
                <w:webHidden/>
              </w:rPr>
              <w:fldChar w:fldCharType="end"/>
            </w:r>
          </w:hyperlink>
        </w:p>
        <w:p w14:paraId="17F37974" w14:textId="427DDC8F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5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3.1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Aumento de la inversión en 2022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_Toc136437475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6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72870465" w14:textId="4E4A61E1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6" w:history="1">
            <w:r w:rsidR="00B60A1D" w:rsidRPr="00CC50FD">
              <w:rPr>
                <w:rStyle w:val="Hipervnculo"/>
                <w:lang w:val="es-MX"/>
              </w:rPr>
              <w:t>4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MX"/>
              </w:rPr>
              <w:t>Financiamiento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_Toc136437476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7</w:t>
            </w:r>
            <w:r w:rsidR="00B60A1D">
              <w:rPr>
                <w:webHidden/>
              </w:rPr>
              <w:fldChar w:fldCharType="end"/>
            </w:r>
          </w:hyperlink>
        </w:p>
        <w:p w14:paraId="40C08BCE" w14:textId="24212640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7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4.1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Reducción en los activos financieros.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_Toc136437477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7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35C03414" w14:textId="77CD2A21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8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4.2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Aumenta el incurrimiento de pasivos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_Toc136437478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7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299ABFBB" w14:textId="761EEA41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79" w:history="1">
            <w:r w:rsidR="00B60A1D" w:rsidRPr="00CC50FD">
              <w:rPr>
                <w:rStyle w:val="Hipervnculo"/>
                <w:lang w:val="es-ES_tradnl" w:eastAsia="es-ES"/>
              </w:rPr>
              <w:t>5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MX"/>
              </w:rPr>
              <w:t>Erogaciones</w:t>
            </w:r>
            <w:r w:rsidR="00B60A1D" w:rsidRPr="00CC50FD">
              <w:rPr>
                <w:rStyle w:val="Hipervnculo"/>
                <w:lang w:val="es-ES_tradnl" w:eastAsia="es-ES"/>
              </w:rPr>
              <w:t xml:space="preserve"> por funciones de gobierno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_Toc136437479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8</w:t>
            </w:r>
            <w:r w:rsidR="00B60A1D">
              <w:rPr>
                <w:webHidden/>
              </w:rPr>
              <w:fldChar w:fldCharType="end"/>
            </w:r>
          </w:hyperlink>
        </w:p>
        <w:p w14:paraId="30BA21F5" w14:textId="799E656E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84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5.1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Las erogaciones en asuntos económicos y protección social fueron las mas dinámicas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_Toc136437484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8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6FB5703E" w14:textId="1E3F14A9" w:rsidR="00B60A1D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85" w:history="1">
            <w:r w:rsidR="00B60A1D" w:rsidRPr="00CC50FD">
              <w:rPr>
                <w:rStyle w:val="Hipervnculo"/>
                <w:lang w:val="es-ES_tradnl" w:eastAsia="es-ES"/>
              </w:rPr>
              <w:t>6</w:t>
            </w:r>
            <w:r w:rsidR="00B60A1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lang w:val="es-MX"/>
              </w:rPr>
              <w:t>Resultados</w:t>
            </w:r>
            <w:r w:rsidR="00B60A1D" w:rsidRPr="00CC50FD">
              <w:rPr>
                <w:rStyle w:val="Hipervnculo"/>
                <w:lang w:val="es-ES_tradnl" w:eastAsia="es-ES"/>
              </w:rPr>
              <w:t xml:space="preserve"> Fiscales</w:t>
            </w:r>
            <w:r w:rsidR="00B60A1D">
              <w:rPr>
                <w:webHidden/>
              </w:rPr>
              <w:tab/>
            </w:r>
            <w:r w:rsidR="00B60A1D">
              <w:rPr>
                <w:webHidden/>
              </w:rPr>
              <w:fldChar w:fldCharType="begin"/>
            </w:r>
            <w:r w:rsidR="00B60A1D">
              <w:rPr>
                <w:webHidden/>
              </w:rPr>
              <w:instrText xml:space="preserve"> PAGEREF _Toc136437485 \h </w:instrText>
            </w:r>
            <w:r w:rsidR="00B60A1D">
              <w:rPr>
                <w:webHidden/>
              </w:rPr>
            </w:r>
            <w:r w:rsidR="00B60A1D">
              <w:rPr>
                <w:webHidden/>
              </w:rPr>
              <w:fldChar w:fldCharType="separate"/>
            </w:r>
            <w:r w:rsidR="006565BF">
              <w:rPr>
                <w:webHidden/>
              </w:rPr>
              <w:t>9</w:t>
            </w:r>
            <w:r w:rsidR="00B60A1D">
              <w:rPr>
                <w:webHidden/>
              </w:rPr>
              <w:fldChar w:fldCharType="end"/>
            </w:r>
          </w:hyperlink>
        </w:p>
        <w:p w14:paraId="1E9FFC3A" w14:textId="5B27336E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86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6.1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Resultado Operativo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_Toc136437486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9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7A9C00BA" w14:textId="62940B77" w:rsidR="00B60A1D" w:rsidRDefault="00000000">
          <w:pPr>
            <w:pStyle w:val="TDC2"/>
            <w:rPr>
              <w:rFonts w:asciiTheme="minorHAnsi" w:hAnsiTheme="minorHAnsi"/>
              <w:noProof/>
              <w:kern w:val="2"/>
              <w:sz w:val="22"/>
              <w:szCs w:val="22"/>
              <w:lang w:eastAsia="es-GT"/>
              <w14:ligatures w14:val="standardContextual"/>
            </w:rPr>
          </w:pPr>
          <w:hyperlink w:anchor="_Toc136437487" w:history="1">
            <w:r w:rsidR="00B60A1D" w:rsidRPr="00CC50FD">
              <w:rPr>
                <w:rStyle w:val="Hipervnculo"/>
                <w:rFonts w:cs="Times New Roman"/>
                <w:b/>
                <w:noProof/>
              </w:rPr>
              <w:t>6.2</w:t>
            </w:r>
            <w:r w:rsidR="00B60A1D">
              <w:rPr>
                <w:rFonts w:asciiTheme="minorHAnsi" w:hAnsiTheme="minorHAnsi"/>
                <w:noProof/>
                <w:kern w:val="2"/>
                <w:sz w:val="22"/>
                <w:szCs w:val="22"/>
                <w:lang w:eastAsia="es-GT"/>
                <w14:ligatures w14:val="standardContextual"/>
              </w:rPr>
              <w:tab/>
            </w:r>
            <w:r w:rsidR="00B60A1D" w:rsidRPr="00CC50FD">
              <w:rPr>
                <w:rStyle w:val="Hipervnculo"/>
                <w:rFonts w:cs="Times New Roman"/>
                <w:noProof/>
              </w:rPr>
              <w:t>Endeudamiento Neto</w:t>
            </w:r>
            <w:r w:rsidR="00B60A1D">
              <w:rPr>
                <w:noProof/>
                <w:webHidden/>
              </w:rPr>
              <w:tab/>
            </w:r>
            <w:r w:rsidR="00B60A1D">
              <w:rPr>
                <w:noProof/>
                <w:webHidden/>
              </w:rPr>
              <w:fldChar w:fldCharType="begin"/>
            </w:r>
            <w:r w:rsidR="00B60A1D">
              <w:rPr>
                <w:noProof/>
                <w:webHidden/>
              </w:rPr>
              <w:instrText xml:space="preserve"> PAGEREF _Toc136437487 \h </w:instrText>
            </w:r>
            <w:r w:rsidR="00B60A1D">
              <w:rPr>
                <w:noProof/>
                <w:webHidden/>
              </w:rPr>
            </w:r>
            <w:r w:rsidR="00B60A1D">
              <w:rPr>
                <w:noProof/>
                <w:webHidden/>
              </w:rPr>
              <w:fldChar w:fldCharType="separate"/>
            </w:r>
            <w:r w:rsidR="006565BF">
              <w:rPr>
                <w:noProof/>
                <w:webHidden/>
              </w:rPr>
              <w:t>9</w:t>
            </w:r>
            <w:r w:rsidR="00B60A1D">
              <w:rPr>
                <w:noProof/>
                <w:webHidden/>
              </w:rPr>
              <w:fldChar w:fldCharType="end"/>
            </w:r>
          </w:hyperlink>
        </w:p>
        <w:p w14:paraId="5BE2AAB0" w14:textId="4DD4E099" w:rsidR="0032588B" w:rsidRPr="00954142" w:rsidRDefault="0032588B" w:rsidP="00CD34D6">
          <w:pPr>
            <w:spacing w:line="276" w:lineRule="auto"/>
            <w:rPr>
              <w:rFonts w:cs="Times New Roman"/>
              <w:color w:val="FF0000"/>
            </w:rPr>
          </w:pPr>
          <w:r w:rsidRPr="00954142">
            <w:rPr>
              <w:rFonts w:cs="Times New Roman"/>
              <w:bCs/>
              <w:color w:val="FF0000"/>
              <w:lang w:val="es-ES"/>
            </w:rPr>
            <w:fldChar w:fldCharType="end"/>
          </w:r>
        </w:p>
      </w:sdtContent>
    </w:sdt>
    <w:p w14:paraId="21BB0213" w14:textId="77777777" w:rsidR="006B58E6" w:rsidRPr="00954142" w:rsidRDefault="006B58E6" w:rsidP="006B58E6">
      <w:pPr>
        <w:tabs>
          <w:tab w:val="left" w:pos="5490"/>
        </w:tabs>
        <w:spacing w:after="200" w:line="276" w:lineRule="auto"/>
        <w:rPr>
          <w:rFonts w:eastAsiaTheme="majorEastAsia" w:cs="Times New Roman"/>
          <w:b/>
          <w:bCs/>
          <w:szCs w:val="26"/>
        </w:rPr>
      </w:pPr>
      <w:bookmarkStart w:id="3" w:name="_Toc33180541"/>
      <w:r w:rsidRPr="00954142">
        <w:rPr>
          <w:rFonts w:eastAsiaTheme="majorEastAsia" w:cs="Times New Roman"/>
          <w:b/>
          <w:bCs/>
          <w:szCs w:val="26"/>
        </w:rPr>
        <w:tab/>
      </w:r>
    </w:p>
    <w:p w14:paraId="1E4B481B" w14:textId="5CF023FB" w:rsidR="0041288C" w:rsidRPr="00954142" w:rsidRDefault="0041288C" w:rsidP="006B58E6">
      <w:pPr>
        <w:tabs>
          <w:tab w:val="left" w:pos="5490"/>
        </w:tabs>
        <w:spacing w:after="200" w:line="276" w:lineRule="auto"/>
        <w:rPr>
          <w:rFonts w:eastAsiaTheme="majorEastAsia" w:cs="Times New Roman"/>
          <w:b/>
          <w:bCs/>
          <w:szCs w:val="26"/>
        </w:rPr>
      </w:pPr>
      <w:r w:rsidRPr="00954142">
        <w:rPr>
          <w:rFonts w:eastAsiaTheme="majorEastAsia" w:cs="Times New Roman"/>
          <w:szCs w:val="26"/>
        </w:rPr>
        <w:br w:type="page"/>
      </w:r>
    </w:p>
    <w:p w14:paraId="4919E5EF" w14:textId="77777777" w:rsidR="0041288C" w:rsidRPr="00954142" w:rsidRDefault="0041288C" w:rsidP="00707EF0">
      <w:pPr>
        <w:pStyle w:val="Ttulo1"/>
        <w:rPr>
          <w:lang w:val="es-ES_tradnl" w:eastAsia="es-ES"/>
        </w:rPr>
      </w:pPr>
      <w:bookmarkStart w:id="4" w:name="_Toc136437461"/>
      <w:r w:rsidRPr="00954142">
        <w:rPr>
          <w:lang w:val="es-ES_tradnl" w:eastAsia="es-ES"/>
        </w:rPr>
        <w:lastRenderedPageBreak/>
        <w:t>Introducción</w:t>
      </w:r>
      <w:bookmarkEnd w:id="3"/>
      <w:bookmarkEnd w:id="4"/>
    </w:p>
    <w:p w14:paraId="166F9829" w14:textId="18A2C926" w:rsidR="00974B8B" w:rsidRPr="00954142" w:rsidRDefault="0041288C" w:rsidP="00B67B8F">
      <w:pPr>
        <w:rPr>
          <w:lang w:val="es-MX"/>
        </w:rPr>
      </w:pPr>
      <w:r w:rsidRPr="00954142">
        <w:rPr>
          <w:lang w:val="es-MX"/>
        </w:rPr>
        <w:t xml:space="preserve">A </w:t>
      </w:r>
      <w:r w:rsidR="0060366C" w:rsidRPr="00954142">
        <w:rPr>
          <w:lang w:val="es-MX"/>
        </w:rPr>
        <w:t>continuación,</w:t>
      </w:r>
      <w:r w:rsidRPr="00954142">
        <w:rPr>
          <w:lang w:val="es-MX"/>
        </w:rPr>
        <w:t xml:space="preserve"> se presenta </w:t>
      </w:r>
      <w:r w:rsidRPr="00954142">
        <w:rPr>
          <w:b/>
          <w:bCs/>
          <w:lang w:val="es-MX"/>
        </w:rPr>
        <w:t>el Informe</w:t>
      </w:r>
      <w:r w:rsidR="00445193" w:rsidRPr="00954142">
        <w:rPr>
          <w:b/>
          <w:bCs/>
          <w:lang w:val="es-MX"/>
        </w:rPr>
        <w:t xml:space="preserve"> </w:t>
      </w:r>
      <w:r w:rsidR="004D09F5" w:rsidRPr="00954142">
        <w:rPr>
          <w:b/>
          <w:bCs/>
          <w:lang w:val="es-MX"/>
        </w:rPr>
        <w:t>Anual</w:t>
      </w:r>
      <w:r w:rsidR="002E2298" w:rsidRPr="00954142">
        <w:rPr>
          <w:b/>
          <w:bCs/>
          <w:lang w:val="es-MX"/>
        </w:rPr>
        <w:t xml:space="preserve"> de 202</w:t>
      </w:r>
      <w:r w:rsidR="00F535E9" w:rsidRPr="00954142">
        <w:rPr>
          <w:b/>
          <w:bCs/>
          <w:lang w:val="es-MX"/>
        </w:rPr>
        <w:t>2</w:t>
      </w:r>
      <w:r w:rsidR="002E2298" w:rsidRPr="00954142">
        <w:rPr>
          <w:lang w:val="es-MX"/>
        </w:rPr>
        <w:t xml:space="preserve">, </w:t>
      </w:r>
      <w:r w:rsidRPr="00954142">
        <w:rPr>
          <w:lang w:val="es-MX"/>
        </w:rPr>
        <w:t>sobre l</w:t>
      </w:r>
      <w:r w:rsidR="00D63046" w:rsidRPr="00954142">
        <w:rPr>
          <w:lang w:val="es-MX"/>
        </w:rPr>
        <w:t xml:space="preserve">a ejecución financiera del </w:t>
      </w:r>
      <w:r w:rsidR="00AB392D" w:rsidRPr="00954142">
        <w:rPr>
          <w:lang w:val="es-MX"/>
        </w:rPr>
        <w:t>gobierno general</w:t>
      </w:r>
      <w:r w:rsidR="00D63046" w:rsidRPr="00954142">
        <w:rPr>
          <w:lang w:val="es-MX"/>
        </w:rPr>
        <w:t xml:space="preserve"> sobre la base de las</w:t>
      </w:r>
      <w:r w:rsidRPr="00954142">
        <w:rPr>
          <w:lang w:val="es-MX"/>
        </w:rPr>
        <w:t xml:space="preserve"> Estadísticas de las Finanzas Públicas -EFP- el cual contiene los aspectos más relevantes de la evolución de las variables fiscales</w:t>
      </w:r>
      <w:r w:rsidR="00D63046" w:rsidRPr="00954142">
        <w:rPr>
          <w:lang w:val="es-MX"/>
        </w:rPr>
        <w:t>, así como las</w:t>
      </w:r>
      <w:r w:rsidR="00AA5C09" w:rsidRPr="00954142">
        <w:rPr>
          <w:lang w:val="es-MX"/>
        </w:rPr>
        <w:t xml:space="preserve"> </w:t>
      </w:r>
      <w:r w:rsidRPr="00954142">
        <w:rPr>
          <w:lang w:val="es-MX"/>
        </w:rPr>
        <w:t>principales acciones en materia de ingresos, gasto, transacciones en activos y pasivos y las erogaciones por función del Gobierno</w:t>
      </w:r>
      <w:r w:rsidR="004E3572" w:rsidRPr="00483E56">
        <w:rPr>
          <w:lang w:val="es-MX"/>
        </w:rPr>
        <w:t>.</w:t>
      </w:r>
      <w:r w:rsidR="00B331CD" w:rsidRPr="00483E56">
        <w:rPr>
          <w:lang w:val="es-MX"/>
        </w:rPr>
        <w:t xml:space="preserve"> </w:t>
      </w:r>
      <w:r w:rsidR="00EB420D" w:rsidRPr="00483E56">
        <w:rPr>
          <w:lang w:val="es-MX"/>
        </w:rPr>
        <w:t xml:space="preserve">Esta información se presenta utilizando </w:t>
      </w:r>
      <w:r w:rsidR="001C3561" w:rsidRPr="00483E56">
        <w:rPr>
          <w:lang w:val="es-MX"/>
        </w:rPr>
        <w:t xml:space="preserve">cifras consolidadas, es decir, se eliminan las operaciones reciprocas entre las entidades que conforman al gobierno </w:t>
      </w:r>
      <w:r w:rsidR="00BD0642" w:rsidRPr="00483E56">
        <w:rPr>
          <w:lang w:val="es-MX"/>
        </w:rPr>
        <w:t>g</w:t>
      </w:r>
      <w:r w:rsidR="001C3561" w:rsidRPr="00483E56">
        <w:rPr>
          <w:lang w:val="es-MX"/>
        </w:rPr>
        <w:t>eneral</w:t>
      </w:r>
      <w:r w:rsidR="00BD0642" w:rsidRPr="00483E56">
        <w:rPr>
          <w:lang w:val="es-MX"/>
        </w:rPr>
        <w:t xml:space="preserve"> para presentar los datos como una </w:t>
      </w:r>
      <w:r w:rsidR="00C80B6F" w:rsidRPr="00483E56">
        <w:rPr>
          <w:lang w:val="es-MX"/>
        </w:rPr>
        <w:t>sola unidad económica.</w:t>
      </w:r>
    </w:p>
    <w:p w14:paraId="522D2460" w14:textId="36B78D9B" w:rsidR="0041288C" w:rsidRPr="00954142" w:rsidRDefault="004E3572" w:rsidP="00B67B8F">
      <w:pPr>
        <w:rPr>
          <w:lang w:val="es-MX"/>
        </w:rPr>
      </w:pPr>
      <w:r w:rsidRPr="00954142">
        <w:rPr>
          <w:lang w:val="es-MX"/>
        </w:rPr>
        <w:t xml:space="preserve">Cabe mencionar que dicha información utiliza los </w:t>
      </w:r>
      <w:r w:rsidR="005F2296" w:rsidRPr="00954142">
        <w:rPr>
          <w:lang w:val="es-MX"/>
        </w:rPr>
        <w:t>estándares internacionales establecidos en el Manual de Estadísticas de las Finanzas Públicas 2014 -MEFP-</w:t>
      </w:r>
      <w:r w:rsidR="00974B8B" w:rsidRPr="00954142">
        <w:rPr>
          <w:lang w:val="es-MX"/>
        </w:rPr>
        <w:t xml:space="preserve"> del Fondo Monetario </w:t>
      </w:r>
      <w:r w:rsidR="00F35956" w:rsidRPr="00954142">
        <w:rPr>
          <w:lang w:val="es-MX"/>
        </w:rPr>
        <w:t xml:space="preserve">Internacional </w:t>
      </w:r>
      <w:r w:rsidR="0041288C" w:rsidRPr="00954142">
        <w:rPr>
          <w:lang w:val="es-MX"/>
        </w:rPr>
        <w:t>-FMI- por lo que existen diferencias en comparación</w:t>
      </w:r>
      <w:r w:rsidR="00774760" w:rsidRPr="00954142">
        <w:rPr>
          <w:lang w:val="es-MX"/>
        </w:rPr>
        <w:t xml:space="preserve"> a las cifras que son publicadas </w:t>
      </w:r>
      <w:r w:rsidR="0041288C" w:rsidRPr="00954142">
        <w:rPr>
          <w:lang w:val="es-MX"/>
        </w:rPr>
        <w:t>utiliza</w:t>
      </w:r>
      <w:r w:rsidR="00774760" w:rsidRPr="00954142">
        <w:rPr>
          <w:lang w:val="es-MX"/>
        </w:rPr>
        <w:t>ndo</w:t>
      </w:r>
      <w:r w:rsidR="0041288C" w:rsidRPr="00954142">
        <w:rPr>
          <w:lang w:val="es-MX"/>
        </w:rPr>
        <w:t xml:space="preserve"> la metodología nacional.</w:t>
      </w:r>
      <w:r w:rsidR="00F8714D" w:rsidRPr="00954142">
        <w:rPr>
          <w:lang w:val="es-MX"/>
        </w:rPr>
        <w:t xml:space="preserve"> </w:t>
      </w:r>
      <w:r w:rsidR="003D1490" w:rsidRPr="00954142">
        <w:rPr>
          <w:lang w:val="es-MX"/>
        </w:rPr>
        <w:t xml:space="preserve">En caso de cualquier </w:t>
      </w:r>
      <w:r w:rsidR="00FA4254" w:rsidRPr="00954142">
        <w:rPr>
          <w:lang w:val="es-MX"/>
        </w:rPr>
        <w:t>duda</w:t>
      </w:r>
      <w:r w:rsidR="00E507D9" w:rsidRPr="00954142">
        <w:rPr>
          <w:lang w:val="es-MX"/>
        </w:rPr>
        <w:t xml:space="preserve"> sobre estas diferencias</w:t>
      </w:r>
      <w:r w:rsidR="002710C2" w:rsidRPr="00954142">
        <w:rPr>
          <w:lang w:val="es-MX"/>
        </w:rPr>
        <w:t xml:space="preserve">, </w:t>
      </w:r>
      <w:r w:rsidR="00723705" w:rsidRPr="00954142">
        <w:rPr>
          <w:lang w:val="es-MX"/>
        </w:rPr>
        <w:t xml:space="preserve">se </w:t>
      </w:r>
      <w:r w:rsidR="002710C2" w:rsidRPr="00954142">
        <w:rPr>
          <w:lang w:val="es-MX"/>
        </w:rPr>
        <w:t xml:space="preserve">puede consultar los documentos de </w:t>
      </w:r>
      <w:r w:rsidR="00C139AC" w:rsidRPr="00954142">
        <w:rPr>
          <w:lang w:val="es-MX"/>
        </w:rPr>
        <w:t>“</w:t>
      </w:r>
      <w:r w:rsidR="002710C2" w:rsidRPr="00954142">
        <w:rPr>
          <w:lang w:val="es-MX"/>
        </w:rPr>
        <w:t>Metodología</w:t>
      </w:r>
      <w:r w:rsidR="00C139AC" w:rsidRPr="00954142">
        <w:rPr>
          <w:lang w:val="es-MX"/>
        </w:rPr>
        <w:t>”</w:t>
      </w:r>
      <w:r w:rsidR="002710C2" w:rsidRPr="00954142">
        <w:rPr>
          <w:lang w:val="es-MX"/>
        </w:rPr>
        <w:t xml:space="preserve"> y de </w:t>
      </w:r>
      <w:r w:rsidR="00C139AC" w:rsidRPr="00954142">
        <w:rPr>
          <w:lang w:val="es-MX"/>
        </w:rPr>
        <w:t xml:space="preserve">“Metadatos” </w:t>
      </w:r>
      <w:r w:rsidR="00F42DC5" w:rsidRPr="00954142">
        <w:rPr>
          <w:lang w:val="es-MX"/>
        </w:rPr>
        <w:t xml:space="preserve">que se encuentran publicados en </w:t>
      </w:r>
      <w:r w:rsidR="00C923AF" w:rsidRPr="00954142">
        <w:rPr>
          <w:lang w:val="es-MX"/>
        </w:rPr>
        <w:t xml:space="preserve">la </w:t>
      </w:r>
      <w:r w:rsidR="00DB2A3F" w:rsidRPr="00954142">
        <w:rPr>
          <w:lang w:val="es-MX"/>
        </w:rPr>
        <w:t>página</w:t>
      </w:r>
      <w:r w:rsidR="00F42DC5" w:rsidRPr="00954142">
        <w:rPr>
          <w:lang w:val="es-MX"/>
        </w:rPr>
        <w:t xml:space="preserve"> web</w:t>
      </w:r>
      <w:r w:rsidR="00C923AF" w:rsidRPr="00954142">
        <w:rPr>
          <w:lang w:val="es-MX"/>
        </w:rPr>
        <w:t xml:space="preserve"> del Ministerio de Finanzas Públicas</w:t>
      </w:r>
      <w:r w:rsidR="00723705" w:rsidRPr="00954142">
        <w:rPr>
          <w:lang w:val="es-MX"/>
        </w:rPr>
        <w:t>,</w:t>
      </w:r>
      <w:r w:rsidR="00C923AF" w:rsidRPr="00954142">
        <w:rPr>
          <w:lang w:val="es-MX"/>
        </w:rPr>
        <w:t xml:space="preserve"> en la sección de “Estadísticas según Estándares Internacionales”</w:t>
      </w:r>
      <w:r w:rsidR="00F42DC5" w:rsidRPr="00954142">
        <w:rPr>
          <w:lang w:val="es-MX"/>
        </w:rPr>
        <w:t>.</w:t>
      </w:r>
    </w:p>
    <w:p w14:paraId="2C130F06" w14:textId="77777777" w:rsidR="00F70E18" w:rsidRPr="00954142" w:rsidRDefault="00F70E18" w:rsidP="00B67B8F">
      <w:pPr>
        <w:rPr>
          <w:lang w:val="es-MX"/>
        </w:rPr>
      </w:pPr>
    </w:p>
    <w:p w14:paraId="37573775" w14:textId="2CCE493C" w:rsidR="00E66A98" w:rsidRPr="00954142" w:rsidRDefault="00A52F77" w:rsidP="00F70E18">
      <w:pPr>
        <w:pStyle w:val="Ttulo1"/>
        <w:numPr>
          <w:ilvl w:val="0"/>
          <w:numId w:val="46"/>
        </w:numPr>
        <w:rPr>
          <w:lang w:val="es-ES_tradnl" w:eastAsia="es-ES"/>
        </w:rPr>
      </w:pPr>
      <w:bookmarkStart w:id="5" w:name="_Toc136437462"/>
      <w:bookmarkEnd w:id="1"/>
      <w:bookmarkEnd w:id="2"/>
      <w:r w:rsidRPr="00954142">
        <w:rPr>
          <w:lang w:val="es-ES_tradnl" w:eastAsia="es-ES"/>
        </w:rPr>
        <w:t>Ingresos</w:t>
      </w:r>
      <w:bookmarkEnd w:id="5"/>
      <w:r w:rsidR="00E66A98" w:rsidRPr="00954142">
        <w:rPr>
          <w:lang w:val="es-ES_tradnl" w:eastAsia="es-ES"/>
        </w:rPr>
        <w:t xml:space="preserve"> </w:t>
      </w:r>
    </w:p>
    <w:p w14:paraId="573AD0D9" w14:textId="51A596AB" w:rsidR="00E66A98" w:rsidRPr="00954142" w:rsidRDefault="00845D81" w:rsidP="00EB6D9F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6" w:name="_Toc471986924"/>
      <w:bookmarkStart w:id="7" w:name="_Toc471987059"/>
      <w:bookmarkStart w:id="8" w:name="_Toc471987107"/>
      <w:bookmarkStart w:id="9" w:name="_Toc471987129"/>
      <w:bookmarkStart w:id="10" w:name="_Toc472082158"/>
      <w:bookmarkStart w:id="11" w:name="_Toc472082190"/>
      <w:bookmarkStart w:id="12" w:name="_Toc472089905"/>
      <w:bookmarkStart w:id="13" w:name="_Toc472089928"/>
      <w:bookmarkStart w:id="14" w:name="_Toc505346056"/>
      <w:bookmarkStart w:id="15" w:name="_Toc505349869"/>
      <w:bookmarkStart w:id="16" w:name="_Toc534985827"/>
      <w:bookmarkStart w:id="17" w:name="_Toc534988220"/>
      <w:bookmarkStart w:id="18" w:name="_Toc31611540"/>
      <w:bookmarkStart w:id="19" w:name="_Toc31612756"/>
      <w:bookmarkStart w:id="20" w:name="_Toc31612788"/>
      <w:bookmarkStart w:id="21" w:name="_Toc31614814"/>
      <w:bookmarkStart w:id="22" w:name="_Toc31614846"/>
      <w:bookmarkStart w:id="23" w:name="_Toc31618683"/>
      <w:bookmarkStart w:id="24" w:name="_Toc31618716"/>
      <w:bookmarkStart w:id="25" w:name="_Toc31624492"/>
      <w:bookmarkStart w:id="26" w:name="_Toc31625344"/>
      <w:bookmarkStart w:id="27" w:name="_Toc31626799"/>
      <w:bookmarkStart w:id="28" w:name="_Toc31811250"/>
      <w:bookmarkStart w:id="29" w:name="_Toc31811695"/>
      <w:bookmarkStart w:id="30" w:name="_Toc31971858"/>
      <w:bookmarkStart w:id="31" w:name="_Toc32230880"/>
      <w:bookmarkStart w:id="32" w:name="_Toc33109779"/>
      <w:bookmarkStart w:id="33" w:name="_Toc33109822"/>
      <w:bookmarkStart w:id="34" w:name="_Toc33180543"/>
      <w:bookmarkStart w:id="35" w:name="_Toc33180637"/>
      <w:bookmarkStart w:id="36" w:name="_Toc33193534"/>
      <w:bookmarkStart w:id="37" w:name="_Toc33193573"/>
      <w:bookmarkStart w:id="38" w:name="_Toc33196770"/>
      <w:bookmarkStart w:id="39" w:name="_Toc40691746"/>
      <w:bookmarkStart w:id="40" w:name="_Toc40959149"/>
      <w:bookmarkStart w:id="41" w:name="_Toc40975983"/>
      <w:bookmarkStart w:id="42" w:name="_Toc40976052"/>
      <w:bookmarkStart w:id="43" w:name="_Toc40993307"/>
      <w:bookmarkStart w:id="44" w:name="_Toc40993689"/>
      <w:bookmarkStart w:id="45" w:name="_Toc41037565"/>
      <w:bookmarkStart w:id="46" w:name="_Toc13643746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954142">
        <w:rPr>
          <w:rFonts w:cs="Times New Roman"/>
          <w:sz w:val="22"/>
          <w:szCs w:val="22"/>
        </w:rPr>
        <w:t xml:space="preserve">Los ingresos </w:t>
      </w:r>
      <w:r w:rsidR="003106CB" w:rsidRPr="00954142">
        <w:rPr>
          <w:rFonts w:cs="Times New Roman"/>
          <w:sz w:val="22"/>
          <w:szCs w:val="22"/>
        </w:rPr>
        <w:t>se incrementaron en 2022</w:t>
      </w:r>
      <w:bookmarkEnd w:id="46"/>
    </w:p>
    <w:p w14:paraId="6926CFE9" w14:textId="7134F13A" w:rsidR="00BE497E" w:rsidRPr="00954142" w:rsidRDefault="00950173" w:rsidP="00B67B8F">
      <w:r w:rsidRPr="00954142">
        <w:t xml:space="preserve">Los </w:t>
      </w:r>
      <w:r w:rsidR="0014119A" w:rsidRPr="00954142">
        <w:t>ingresos totales</w:t>
      </w:r>
      <w:r w:rsidRPr="00954142">
        <w:t xml:space="preserve"> del </w:t>
      </w:r>
      <w:r w:rsidR="00127D46">
        <w:t>g</w:t>
      </w:r>
      <w:r w:rsidRPr="00954142">
        <w:t xml:space="preserve">obierno </w:t>
      </w:r>
      <w:r w:rsidR="00127D46">
        <w:t>g</w:t>
      </w:r>
      <w:r w:rsidRPr="00954142">
        <w:t xml:space="preserve">eneral se situaron en </w:t>
      </w:r>
      <w:r w:rsidR="00B2618E" w:rsidRPr="00954142">
        <w:t>Q120,32</w:t>
      </w:r>
      <w:r w:rsidR="00D85F29">
        <w:t>3</w:t>
      </w:r>
      <w:r w:rsidR="00B2618E" w:rsidRPr="00954142">
        <w:t>.</w:t>
      </w:r>
      <w:r w:rsidR="00D85F29">
        <w:t>3</w:t>
      </w:r>
      <w:r w:rsidR="00B2618E" w:rsidRPr="00954142">
        <w:t xml:space="preserve"> millones</w:t>
      </w:r>
      <w:r w:rsidR="0002314E" w:rsidRPr="00954142">
        <w:t xml:space="preserve"> </w:t>
      </w:r>
      <w:r w:rsidR="00B2618E" w:rsidRPr="00954142">
        <w:t>al finalizar el 2022, siendo este un aumento interanual del 11.7% (Q12,6</w:t>
      </w:r>
      <w:r w:rsidR="00D85F29">
        <w:t>09</w:t>
      </w:r>
      <w:r w:rsidR="00B2618E" w:rsidRPr="00954142">
        <w:t>.</w:t>
      </w:r>
      <w:r w:rsidR="00D85F29">
        <w:t>3</w:t>
      </w:r>
      <w:r w:rsidR="00B2618E" w:rsidRPr="00954142">
        <w:t xml:space="preserve"> millones)</w:t>
      </w:r>
      <w:r w:rsidR="00F661AC" w:rsidRPr="00954142">
        <w:t>,</w:t>
      </w:r>
      <w:r w:rsidR="00A97CFC" w:rsidRPr="00954142">
        <w:t xml:space="preserve"> continuando </w:t>
      </w:r>
      <w:r w:rsidR="00F661AC" w:rsidRPr="00954142">
        <w:t xml:space="preserve">de esta manera </w:t>
      </w:r>
      <w:r w:rsidR="00A97CFC" w:rsidRPr="00954142">
        <w:t xml:space="preserve">con el buen dinamismo que se </w:t>
      </w:r>
      <w:r w:rsidR="00306898" w:rsidRPr="00954142">
        <w:t>venía</w:t>
      </w:r>
      <w:r w:rsidR="00A97CFC" w:rsidRPr="00954142">
        <w:t xml:space="preserve"> observando desde el año previo</w:t>
      </w:r>
      <w:r w:rsidR="0014119A" w:rsidRPr="00954142">
        <w:t xml:space="preserve">. </w:t>
      </w:r>
      <w:r w:rsidR="00BE497E" w:rsidRPr="00954142">
        <w:t>En términos del PIB, los ingresos totales fueron del 16.3% del PIB y es un aumento de 0.</w:t>
      </w:r>
      <w:r w:rsidR="00127D46">
        <w:t>1</w:t>
      </w:r>
      <w:r w:rsidR="00BE497E" w:rsidRPr="00954142">
        <w:t xml:space="preserve"> puntos porcentuales respecto al 16.2% observado en el 2021.</w:t>
      </w:r>
    </w:p>
    <w:p w14:paraId="21F90780" w14:textId="0BFBB026" w:rsidR="00E11AB6" w:rsidRPr="00954142" w:rsidRDefault="00F70E18" w:rsidP="00B67B8F"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83844" behindDoc="0" locked="0" layoutInCell="1" allowOverlap="1" wp14:anchorId="2394B235" wp14:editId="4F37BFBC">
            <wp:simplePos x="0" y="0"/>
            <wp:positionH relativeFrom="margin">
              <wp:posOffset>3026410</wp:posOffset>
            </wp:positionH>
            <wp:positionV relativeFrom="paragraph">
              <wp:posOffset>46668</wp:posOffset>
            </wp:positionV>
            <wp:extent cx="2924810" cy="741045"/>
            <wp:effectExtent l="57150" t="38100" r="123190" b="97155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19A" w:rsidRPr="00954142">
        <w:t xml:space="preserve">La mayor fuente de ingresos </w:t>
      </w:r>
      <w:r w:rsidR="00AB1A66" w:rsidRPr="00954142">
        <w:t>de este nivel de gobierno fueron los impuestos, quienes</w:t>
      </w:r>
      <w:r w:rsidR="00F933C2" w:rsidRPr="00954142">
        <w:t xml:space="preserve"> para dicho año</w:t>
      </w:r>
      <w:r w:rsidR="00AB1A66" w:rsidRPr="00954142">
        <w:t xml:space="preserve"> representaron el </w:t>
      </w:r>
      <w:r w:rsidR="005111BB" w:rsidRPr="00954142">
        <w:t>76.1% de los ingresos totales, seguido de las contribuciones sociales con el 16.4%</w:t>
      </w:r>
      <w:r w:rsidR="00C80F76" w:rsidRPr="00954142">
        <w:t>, la categoría de otros ingresos fueron el 7.3% y las donaciones recibidas del 0.1%</w:t>
      </w:r>
      <w:r w:rsidR="00966CCF" w:rsidRPr="00954142">
        <w:t xml:space="preserve">. </w:t>
      </w:r>
    </w:p>
    <w:p w14:paraId="60BDECA6" w14:textId="27B383C1" w:rsidR="0004778B" w:rsidRPr="00954142" w:rsidRDefault="00E11AB6" w:rsidP="00B67B8F">
      <w:r w:rsidRPr="00954142">
        <w:rPr>
          <w:noProof/>
          <w:sz w:val="24"/>
          <w:lang w:eastAsia="es-GT"/>
        </w:rPr>
        <w:drawing>
          <wp:inline distT="0" distB="0" distL="0" distR="0" wp14:anchorId="0E488811" wp14:editId="42C557F0">
            <wp:extent cx="5864860" cy="3671248"/>
            <wp:effectExtent l="0" t="0" r="2540" b="571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C8D73F7" w14:textId="79C508A9" w:rsidR="00D550B4" w:rsidRPr="00954142" w:rsidRDefault="00D550B4" w:rsidP="0004778B">
      <w:pPr>
        <w:spacing w:before="0" w:after="0"/>
        <w:rPr>
          <w:rFonts w:cs="Times New Roman"/>
          <w:szCs w:val="22"/>
        </w:rPr>
      </w:pPr>
      <w:r w:rsidRPr="00954142">
        <w:rPr>
          <w:noProof/>
          <w:lang w:eastAsia="es-GT"/>
        </w:rPr>
        <w:lastRenderedPageBreak/>
        <w:drawing>
          <wp:inline distT="0" distB="0" distL="0" distR="0" wp14:anchorId="0B894B39" wp14:editId="6AA1C896">
            <wp:extent cx="5971540" cy="210175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9A69E6E" w14:textId="77777777" w:rsidR="00D550B4" w:rsidRPr="00954142" w:rsidRDefault="00D550B4" w:rsidP="0004778B">
      <w:pPr>
        <w:pStyle w:val="Prrafodelista"/>
        <w:spacing w:before="0" w:after="0"/>
        <w:ind w:left="0"/>
        <w:jc w:val="right"/>
        <w:rPr>
          <w:sz w:val="16"/>
          <w:szCs w:val="16"/>
        </w:rPr>
      </w:pPr>
      <w:r w:rsidRPr="00954142">
        <w:rPr>
          <w:sz w:val="16"/>
          <w:szCs w:val="16"/>
        </w:rPr>
        <w:t>*Cifras preliminares</w:t>
      </w:r>
    </w:p>
    <w:p w14:paraId="28189151" w14:textId="7E747C45" w:rsidR="00D550B4" w:rsidRPr="00954142" w:rsidRDefault="00D550B4" w:rsidP="0004778B">
      <w:pPr>
        <w:pStyle w:val="Prrafodelista"/>
        <w:spacing w:before="0" w:after="0"/>
        <w:ind w:left="0"/>
        <w:jc w:val="right"/>
        <w:rPr>
          <w:sz w:val="16"/>
          <w:szCs w:val="16"/>
        </w:rPr>
      </w:pPr>
      <w:r w:rsidRPr="00954142">
        <w:rPr>
          <w:sz w:val="16"/>
          <w:szCs w:val="16"/>
        </w:rPr>
        <w:t xml:space="preserve"> Fuente: MINFIN</w:t>
      </w:r>
    </w:p>
    <w:p w14:paraId="6B882EA2" w14:textId="77777777" w:rsidR="00284670" w:rsidRPr="00954142" w:rsidRDefault="00284670" w:rsidP="00CE1392">
      <w:pPr>
        <w:spacing w:before="0" w:after="0"/>
      </w:pPr>
    </w:p>
    <w:p w14:paraId="76314859" w14:textId="77B7383B" w:rsidR="006F70B7" w:rsidRPr="00954142" w:rsidRDefault="00980467" w:rsidP="00284670">
      <w:pPr>
        <w:spacing w:before="0" w:after="0"/>
      </w:pPr>
      <w:r w:rsidRPr="00954142">
        <w:t>Los i</w:t>
      </w:r>
      <w:r w:rsidR="00C14BDC" w:rsidRPr="00954142">
        <w:t>mpuestos fueron los ingresos con mayor crecimiento durante el 2022, te</w:t>
      </w:r>
      <w:r w:rsidR="00BD424D" w:rsidRPr="00954142">
        <w:t xml:space="preserve">niendo una variación interanual del 13.3% (Q10,720.2 millones) </w:t>
      </w:r>
      <w:r w:rsidR="005D1845" w:rsidRPr="00954142">
        <w:t xml:space="preserve">seguido de las contribuciones sociales con una tasa de 7.2% (Q1,331.1 millones) </w:t>
      </w:r>
      <w:r w:rsidR="00BD0629" w:rsidRPr="00954142">
        <w:t xml:space="preserve">y la categoría de otros ingresos </w:t>
      </w:r>
      <w:r w:rsidR="004D44A3" w:rsidRPr="00954142">
        <w:t>aument</w:t>
      </w:r>
      <w:r w:rsidR="00276910">
        <w:t>ó</w:t>
      </w:r>
      <w:r w:rsidR="004D44A3" w:rsidRPr="00954142">
        <w:t xml:space="preserve"> en 8.4% (Q68</w:t>
      </w:r>
      <w:r w:rsidR="000C204B">
        <w:t>2</w:t>
      </w:r>
      <w:r w:rsidR="004D44A3" w:rsidRPr="00954142">
        <w:t>.</w:t>
      </w:r>
      <w:r w:rsidR="00DD5F3A">
        <w:t>4</w:t>
      </w:r>
      <w:r w:rsidR="004D44A3" w:rsidRPr="00954142">
        <w:t xml:space="preserve"> millones) mientras que las donaciones recibidas disminuyeron en </w:t>
      </w:r>
      <w:r w:rsidR="00B437F9" w:rsidRPr="00954142">
        <w:t>43.9% (Q124.4 millones)</w:t>
      </w:r>
      <w:r w:rsidR="00632B84" w:rsidRPr="00954142">
        <w:t xml:space="preserve"> </w:t>
      </w:r>
    </w:p>
    <w:p w14:paraId="3F7BEBB1" w14:textId="77777777" w:rsidR="006F70B7" w:rsidRPr="00954142" w:rsidRDefault="006F70B7" w:rsidP="00284670">
      <w:pPr>
        <w:spacing w:before="0" w:after="0"/>
      </w:pPr>
    </w:p>
    <w:p w14:paraId="3E0C1DA5" w14:textId="5BB164FC" w:rsidR="000E306F" w:rsidRPr="00954142" w:rsidRDefault="00B437F9" w:rsidP="00284670">
      <w:pPr>
        <w:spacing w:before="0" w:after="0"/>
      </w:pPr>
      <w:r w:rsidRPr="00954142">
        <w:t xml:space="preserve">En términos del PIB, los impuestos crecieron </w:t>
      </w:r>
      <w:r w:rsidR="00FC01F7" w:rsidRPr="00954142">
        <w:t>un</w:t>
      </w:r>
      <w:r w:rsidRPr="00954142">
        <w:t xml:space="preserve"> </w:t>
      </w:r>
      <w:r w:rsidR="00FC01F7" w:rsidRPr="00954142">
        <w:t>0.3 puntos porcentuales del PIB, las contribuciones sociales disminuyeron en 0.1</w:t>
      </w:r>
      <w:r w:rsidR="00252A59" w:rsidRPr="00954142">
        <w:t xml:space="preserve"> puntos porcentuales mientras que las donaciones y los otros ingresos </w:t>
      </w:r>
      <w:r w:rsidR="00632B84" w:rsidRPr="00954142">
        <w:t>disminuyeron cada uno en 0.02 puntos porcentuales.</w:t>
      </w:r>
    </w:p>
    <w:p w14:paraId="44CA7A37" w14:textId="77777777" w:rsidR="00255602" w:rsidRPr="00954142" w:rsidRDefault="00255602" w:rsidP="00284670">
      <w:pPr>
        <w:spacing w:before="0" w:after="0"/>
      </w:pPr>
    </w:p>
    <w:p w14:paraId="7B785F6C" w14:textId="7878B490" w:rsidR="002E7740" w:rsidRPr="00954142" w:rsidRDefault="004D09F5" w:rsidP="00255602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47" w:name="_Toc136437464"/>
      <w:r w:rsidRPr="00954142">
        <w:rPr>
          <w:rFonts w:cs="Times New Roman"/>
          <w:sz w:val="22"/>
          <w:szCs w:val="22"/>
        </w:rPr>
        <w:t xml:space="preserve">La recaudación de impuestos </w:t>
      </w:r>
      <w:r w:rsidR="00882BD0" w:rsidRPr="00954142">
        <w:rPr>
          <w:rFonts w:cs="Times New Roman"/>
          <w:sz w:val="22"/>
          <w:szCs w:val="22"/>
        </w:rPr>
        <w:t>e</w:t>
      </w:r>
      <w:r w:rsidR="00F71E1E" w:rsidRPr="00954142">
        <w:rPr>
          <w:rFonts w:cs="Times New Roman"/>
          <w:sz w:val="22"/>
          <w:szCs w:val="22"/>
        </w:rPr>
        <w:t>s dinámica</w:t>
      </w:r>
      <w:bookmarkEnd w:id="47"/>
    </w:p>
    <w:p w14:paraId="39C55824" w14:textId="43AEA659" w:rsidR="007A0A3C" w:rsidRPr="00954142" w:rsidRDefault="00255602" w:rsidP="00255602">
      <w:r w:rsidRPr="00954142">
        <w:rPr>
          <w:noProof/>
          <w:sz w:val="22"/>
          <w:lang w:eastAsia="es-GT"/>
        </w:rPr>
        <w:drawing>
          <wp:anchor distT="0" distB="0" distL="114300" distR="114300" simplePos="0" relativeHeight="251696132" behindDoc="0" locked="0" layoutInCell="1" allowOverlap="1" wp14:anchorId="47A92BC0" wp14:editId="751ECF4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53385" cy="4066540"/>
            <wp:effectExtent l="0" t="0" r="0" b="1016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68" w:rsidRPr="00954142">
        <w:t>En</w:t>
      </w:r>
      <w:r w:rsidR="0075653A" w:rsidRPr="00954142">
        <w:t xml:space="preserve"> 2022</w:t>
      </w:r>
      <w:r w:rsidR="00762F01" w:rsidRPr="00954142">
        <w:t xml:space="preserve">, los impuestos ascienden a </w:t>
      </w:r>
      <w:r w:rsidR="00CC2D1F" w:rsidRPr="00954142">
        <w:t>Q</w:t>
      </w:r>
      <w:r w:rsidR="0070078C" w:rsidRPr="00954142">
        <w:t>91,578.9 millones</w:t>
      </w:r>
      <w:r w:rsidR="0003343E" w:rsidRPr="00954142">
        <w:t>, siendo</w:t>
      </w:r>
      <w:r w:rsidR="00762F01" w:rsidRPr="00954142">
        <w:t xml:space="preserve"> </w:t>
      </w:r>
      <w:r w:rsidR="00D604C9" w:rsidRPr="00954142">
        <w:t xml:space="preserve">un </w:t>
      </w:r>
      <w:r w:rsidR="00762F01" w:rsidRPr="00954142">
        <w:t>incremento interanual de</w:t>
      </w:r>
      <w:r w:rsidR="00D51106" w:rsidRPr="00954142">
        <w:t>l</w:t>
      </w:r>
      <w:r w:rsidR="00762F01" w:rsidRPr="00954142">
        <w:t xml:space="preserve"> 1</w:t>
      </w:r>
      <w:r w:rsidR="008E2945" w:rsidRPr="00954142">
        <w:t>3</w:t>
      </w:r>
      <w:r w:rsidR="00762F01" w:rsidRPr="00954142">
        <w:t>.</w:t>
      </w:r>
      <w:r w:rsidR="008E2945" w:rsidRPr="00954142">
        <w:t>3</w:t>
      </w:r>
      <w:r w:rsidR="00762F01" w:rsidRPr="00954142">
        <w:t>% (Q</w:t>
      </w:r>
      <w:r w:rsidR="00D51106" w:rsidRPr="00954142">
        <w:t>10,</w:t>
      </w:r>
      <w:r w:rsidR="0070078C" w:rsidRPr="00954142">
        <w:t>720</w:t>
      </w:r>
      <w:r w:rsidR="00D51106" w:rsidRPr="00954142">
        <w:t>.</w:t>
      </w:r>
      <w:r w:rsidR="0070078C" w:rsidRPr="00954142">
        <w:t>2</w:t>
      </w:r>
      <w:r w:rsidR="00D51106" w:rsidRPr="00954142">
        <w:t xml:space="preserve"> </w:t>
      </w:r>
      <w:r w:rsidR="00762F01" w:rsidRPr="00954142">
        <w:t>millones)</w:t>
      </w:r>
      <w:r w:rsidR="00D51106" w:rsidRPr="00954142">
        <w:t xml:space="preserve">. </w:t>
      </w:r>
      <w:r w:rsidR="007A0A3C" w:rsidRPr="00954142">
        <w:t xml:space="preserve">En términos del PIB, estos equivalen al </w:t>
      </w:r>
      <w:r w:rsidR="00C05A7C" w:rsidRPr="00954142">
        <w:t>12.4% siendo un aumento de 0.3 puntos porcentuales respecto al 12.1% del PIB observado en 2021.</w:t>
      </w:r>
    </w:p>
    <w:p w14:paraId="3A48B7AC" w14:textId="0C199ADD" w:rsidR="00C05A7C" w:rsidRPr="00954142" w:rsidRDefault="00C23DB2" w:rsidP="00255602">
      <w:r w:rsidRPr="00954142">
        <w:t xml:space="preserve">Los </w:t>
      </w:r>
      <w:r w:rsidR="00915F28" w:rsidRPr="00954142">
        <w:t>principales impuestos fueron</w:t>
      </w:r>
      <w:r w:rsidR="00C05A7C" w:rsidRPr="00954142">
        <w:t>:</w:t>
      </w:r>
    </w:p>
    <w:p w14:paraId="690A4D11" w14:textId="72457259" w:rsidR="00C05A7C" w:rsidRPr="00954142" w:rsidRDefault="00C05A7C" w:rsidP="00CC0FE4">
      <w:pPr>
        <w:pStyle w:val="Prrafodelista"/>
        <w:numPr>
          <w:ilvl w:val="0"/>
          <w:numId w:val="47"/>
        </w:numPr>
      </w:pPr>
      <w:r w:rsidRPr="00954142">
        <w:t>L</w:t>
      </w:r>
      <w:r w:rsidR="00672DC7" w:rsidRPr="00954142">
        <w:t xml:space="preserve">os </w:t>
      </w:r>
      <w:r w:rsidR="006E66B8" w:rsidRPr="00954142">
        <w:t>asociados a</w:t>
      </w:r>
      <w:r w:rsidR="00762F01" w:rsidRPr="00954142">
        <w:t xml:space="preserve"> bienes y servicios</w:t>
      </w:r>
      <w:r w:rsidR="00A910AE" w:rsidRPr="00954142">
        <w:t xml:space="preserve"> que </w:t>
      </w:r>
      <w:r w:rsidR="006E66B8" w:rsidRPr="00954142">
        <w:t xml:space="preserve">se situaron </w:t>
      </w:r>
      <w:r w:rsidR="0012258B" w:rsidRPr="00954142">
        <w:t>entorno a</w:t>
      </w:r>
      <w:r w:rsidR="006E66B8" w:rsidRPr="00954142">
        <w:t xml:space="preserve"> los</w:t>
      </w:r>
      <w:r w:rsidR="00762F01" w:rsidRPr="00954142">
        <w:t xml:space="preserve"> Q</w:t>
      </w:r>
      <w:r w:rsidR="00840F14" w:rsidRPr="00954142">
        <w:t>5</w:t>
      </w:r>
      <w:r w:rsidR="00A910AE" w:rsidRPr="00954142">
        <w:t>3</w:t>
      </w:r>
      <w:r w:rsidR="00840F14" w:rsidRPr="00954142">
        <w:t>,</w:t>
      </w:r>
      <w:r w:rsidR="00A910AE" w:rsidRPr="00954142">
        <w:t>030</w:t>
      </w:r>
      <w:r w:rsidR="00840F14" w:rsidRPr="00954142">
        <w:t>.</w:t>
      </w:r>
      <w:r w:rsidR="00AD3E48" w:rsidRPr="00954142">
        <w:t>2</w:t>
      </w:r>
      <w:r w:rsidR="00840F14" w:rsidRPr="00954142">
        <w:t xml:space="preserve"> </w:t>
      </w:r>
      <w:r w:rsidR="00762F01" w:rsidRPr="00954142">
        <w:t>millones</w:t>
      </w:r>
      <w:r w:rsidR="004D09F5" w:rsidRPr="00954142">
        <w:t>, con un incremento</w:t>
      </w:r>
      <w:r w:rsidR="00840F14" w:rsidRPr="00954142">
        <w:t xml:space="preserve"> </w:t>
      </w:r>
      <w:r w:rsidR="004D09F5" w:rsidRPr="00954142">
        <w:t>de</w:t>
      </w:r>
      <w:r w:rsidR="00796BD4">
        <w:t>l</w:t>
      </w:r>
      <w:r w:rsidR="00B26189" w:rsidRPr="00954142">
        <w:t xml:space="preserve"> 1</w:t>
      </w:r>
      <w:r w:rsidR="00840F14" w:rsidRPr="00954142">
        <w:t>4</w:t>
      </w:r>
      <w:r w:rsidR="00B26189" w:rsidRPr="00954142">
        <w:t>.</w:t>
      </w:r>
      <w:r w:rsidR="001E36E3" w:rsidRPr="00954142">
        <w:t>9</w:t>
      </w:r>
      <w:r w:rsidR="00B26189" w:rsidRPr="00954142">
        <w:t>%</w:t>
      </w:r>
      <w:r w:rsidR="00762F01" w:rsidRPr="00954142">
        <w:t xml:space="preserve"> (</w:t>
      </w:r>
      <w:r w:rsidR="00B26189" w:rsidRPr="00954142">
        <w:t>Q</w:t>
      </w:r>
      <w:r w:rsidR="001E36E3" w:rsidRPr="00954142">
        <w:t>6,876.8 millones</w:t>
      </w:r>
      <w:r w:rsidR="00762F01" w:rsidRPr="00954142">
        <w:t>)</w:t>
      </w:r>
      <w:r w:rsidR="00E6008C" w:rsidRPr="00954142">
        <w:t xml:space="preserve"> </w:t>
      </w:r>
      <w:r w:rsidR="00BA0E4E" w:rsidRPr="00954142">
        <w:t xml:space="preserve">y en términos del PIB estos se </w:t>
      </w:r>
      <w:r w:rsidR="00FB3EB5" w:rsidRPr="00954142">
        <w:t>sitúan</w:t>
      </w:r>
      <w:r w:rsidR="00BA0E4E" w:rsidRPr="00954142">
        <w:t xml:space="preserve"> </w:t>
      </w:r>
      <w:r w:rsidR="009E24F8" w:rsidRPr="00954142">
        <w:t>en torno</w:t>
      </w:r>
      <w:r w:rsidR="00BA0E4E" w:rsidRPr="00954142">
        <w:t xml:space="preserve"> al </w:t>
      </w:r>
      <w:r w:rsidR="00FB3EB5" w:rsidRPr="00954142">
        <w:t>7.2% con un aumento de 0.3 puntos porcentuales</w:t>
      </w:r>
    </w:p>
    <w:p w14:paraId="5813CD4B" w14:textId="77777777" w:rsidR="00602CA4" w:rsidRPr="00954142" w:rsidRDefault="00602CA4" w:rsidP="00CC0FE4">
      <w:pPr>
        <w:pStyle w:val="Prrafodelista"/>
        <w:ind w:left="360"/>
      </w:pPr>
    </w:p>
    <w:p w14:paraId="0364DEDA" w14:textId="46216D73" w:rsidR="007A0A3C" w:rsidRPr="00954142" w:rsidRDefault="00602CA4" w:rsidP="00CC0FE4">
      <w:pPr>
        <w:pStyle w:val="Prrafodelista"/>
        <w:numPr>
          <w:ilvl w:val="0"/>
          <w:numId w:val="47"/>
        </w:numPr>
      </w:pPr>
      <w:r w:rsidRPr="00954142">
        <w:t xml:space="preserve">Y </w:t>
      </w:r>
      <w:r w:rsidR="001E36E3" w:rsidRPr="00954142">
        <w:t xml:space="preserve">los </w:t>
      </w:r>
      <w:r w:rsidR="00131F1C" w:rsidRPr="00954142">
        <w:t>impuestos asociados a los ingresos, las utilidades y las ganancias de capital</w:t>
      </w:r>
      <w:r w:rsidRPr="00954142">
        <w:t xml:space="preserve"> los cuales</w:t>
      </w:r>
      <w:r w:rsidR="00131F1C" w:rsidRPr="00954142">
        <w:t xml:space="preserve"> </w:t>
      </w:r>
      <w:r w:rsidRPr="00954142">
        <w:t xml:space="preserve">ascendieron a </w:t>
      </w:r>
      <w:r w:rsidR="00131F1C" w:rsidRPr="00954142">
        <w:t>Q31,462.9 millones, experimentando un crecimiento de</w:t>
      </w:r>
      <w:r w:rsidR="001234EA">
        <w:t>l</w:t>
      </w:r>
      <w:r w:rsidR="00131F1C" w:rsidRPr="00954142">
        <w:t xml:space="preserve"> 10.8% (Q3,058.3 millones)</w:t>
      </w:r>
      <w:r w:rsidR="00BB52E4" w:rsidRPr="00954142">
        <w:t xml:space="preserve"> estos en términos del PIB</w:t>
      </w:r>
      <w:r w:rsidR="006C49B0" w:rsidRPr="00954142">
        <w:t xml:space="preserve"> equivalen al 4.3% por ciento y no experimentan </w:t>
      </w:r>
      <w:r w:rsidR="006D12D0" w:rsidRPr="00954142">
        <w:t>cambio respecto a lo observado en 2021.</w:t>
      </w:r>
    </w:p>
    <w:p w14:paraId="74E4D1D2" w14:textId="316DAE53" w:rsidR="00273108" w:rsidRPr="00954142" w:rsidRDefault="006B4200" w:rsidP="00255602">
      <w:r w:rsidRPr="00954142">
        <w:t xml:space="preserve">Cabe mencionar que el </w:t>
      </w:r>
      <w:r w:rsidR="00DB34D7" w:rsidRPr="00954142">
        <w:t>g</w:t>
      </w:r>
      <w:r w:rsidRPr="00954142">
        <w:t xml:space="preserve">obierno </w:t>
      </w:r>
      <w:r w:rsidR="00DB34D7" w:rsidRPr="00954142">
        <w:t>c</w:t>
      </w:r>
      <w:r w:rsidRPr="00954142">
        <w:t xml:space="preserve">entral </w:t>
      </w:r>
      <w:r w:rsidR="00DB34D7" w:rsidRPr="00954142">
        <w:t>p</w:t>
      </w:r>
      <w:r w:rsidRPr="00954142">
        <w:t xml:space="preserve">resupuestario </w:t>
      </w:r>
      <w:r w:rsidR="00F04FB5" w:rsidRPr="00954142">
        <w:t>recaud</w:t>
      </w:r>
      <w:r w:rsidR="00276910">
        <w:t>ó</w:t>
      </w:r>
      <w:r w:rsidR="00C600B3" w:rsidRPr="00954142">
        <w:t xml:space="preserve"> en 2022</w:t>
      </w:r>
      <w:r w:rsidR="00F04FB5" w:rsidRPr="00954142">
        <w:t xml:space="preserve"> </w:t>
      </w:r>
      <w:r w:rsidR="00DB34D7" w:rsidRPr="00954142">
        <w:t>el 95.6% del total de los impuestos del gobierno general</w:t>
      </w:r>
      <w:r w:rsidR="00091132" w:rsidRPr="00954142">
        <w:t xml:space="preserve"> mientras que </w:t>
      </w:r>
      <w:r w:rsidR="0008050E" w:rsidRPr="00954142">
        <w:t>el gobierno central extrapresupuestario recauda un 0.9%</w:t>
      </w:r>
      <w:r w:rsidR="005C0DC5" w:rsidRPr="00954142">
        <w:t xml:space="preserve"> </w:t>
      </w:r>
      <w:r w:rsidR="00D528ED" w:rsidRPr="00954142">
        <w:t>(principalmente por el INTECAP y el INGUAT)</w:t>
      </w:r>
      <w:r w:rsidR="008B4E84" w:rsidRPr="00954142">
        <w:t xml:space="preserve"> y los</w:t>
      </w:r>
      <w:r w:rsidR="00462B8F" w:rsidRPr="00954142">
        <w:t xml:space="preserve"> </w:t>
      </w:r>
      <w:r w:rsidR="001234EA">
        <w:t xml:space="preserve">gobiernos </w:t>
      </w:r>
      <w:r w:rsidR="00462B8F" w:rsidRPr="00954142">
        <w:t>locales el 3.5%</w:t>
      </w:r>
      <w:r w:rsidR="008B4E84" w:rsidRPr="00954142">
        <w:t xml:space="preserve"> (principalmente por el IUSI y la tasa de alumbrado público).</w:t>
      </w:r>
    </w:p>
    <w:p w14:paraId="2A0834A9" w14:textId="0FCAF4FD" w:rsidR="00710798" w:rsidRPr="00954142" w:rsidRDefault="00710798" w:rsidP="00710798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48" w:name="_Toc136437465"/>
      <w:r w:rsidRPr="00954142">
        <w:rPr>
          <w:rFonts w:cs="Times New Roman"/>
          <w:sz w:val="22"/>
          <w:szCs w:val="22"/>
        </w:rPr>
        <w:lastRenderedPageBreak/>
        <w:t xml:space="preserve">Las contribuciones </w:t>
      </w:r>
      <w:r w:rsidR="00B60A1D">
        <w:rPr>
          <w:rFonts w:cs="Times New Roman"/>
          <w:sz w:val="22"/>
          <w:szCs w:val="22"/>
        </w:rPr>
        <w:t>s</w:t>
      </w:r>
      <w:r w:rsidRPr="00954142">
        <w:rPr>
          <w:rFonts w:cs="Times New Roman"/>
          <w:sz w:val="22"/>
          <w:szCs w:val="22"/>
        </w:rPr>
        <w:t>ociale</w:t>
      </w:r>
      <w:r w:rsidR="00F71E1E" w:rsidRPr="00954142">
        <w:rPr>
          <w:rFonts w:cs="Times New Roman"/>
          <w:sz w:val="22"/>
          <w:szCs w:val="22"/>
        </w:rPr>
        <w:t>s continuan creciendo</w:t>
      </w:r>
      <w:bookmarkEnd w:id="48"/>
    </w:p>
    <w:p w14:paraId="096A79D5" w14:textId="6B8C4611" w:rsidR="00E44939" w:rsidRPr="00954142" w:rsidRDefault="0022242A" w:rsidP="00255602">
      <w:r w:rsidRPr="00954142">
        <w:t xml:space="preserve">Las </w:t>
      </w:r>
      <w:r w:rsidR="00544730" w:rsidRPr="00954142">
        <w:t>contribuciones sociales en 2022 ascendieron a Q19,760.7 millones</w:t>
      </w:r>
      <w:r w:rsidR="00973D18" w:rsidRPr="00954142">
        <w:t>, observándose un crecimiento de 7.2% (Q1,331.1 millones) respecto al año previo.</w:t>
      </w:r>
      <w:r w:rsidR="00E44939" w:rsidRPr="00954142">
        <w:t xml:space="preserve"> De esta cuenta, las contribuciones a la seguridad social</w:t>
      </w:r>
      <w:r w:rsidR="006F70F5" w:rsidRPr="00954142">
        <w:t xml:space="preserve"> (ingresos </w:t>
      </w:r>
      <w:r w:rsidR="00160909" w:rsidRPr="00954142">
        <w:t xml:space="preserve">recibidos </w:t>
      </w:r>
      <w:r w:rsidR="00680BDC" w:rsidRPr="00954142">
        <w:t>solamente</w:t>
      </w:r>
      <w:r w:rsidR="005F019F" w:rsidRPr="00954142">
        <w:t xml:space="preserve"> por</w:t>
      </w:r>
      <w:r w:rsidR="00680BDC" w:rsidRPr="00954142">
        <w:t xml:space="preserve"> </w:t>
      </w:r>
      <w:r w:rsidR="006F70F5" w:rsidRPr="00954142">
        <w:t>las entidades de seguridad social)</w:t>
      </w:r>
      <w:r w:rsidR="00E44939" w:rsidRPr="00954142">
        <w:t xml:space="preserve"> se situaron en Q13,420.2 millones</w:t>
      </w:r>
      <w:r w:rsidR="00276910">
        <w:t>,</w:t>
      </w:r>
      <w:r w:rsidR="00E44939" w:rsidRPr="00954142">
        <w:t xml:space="preserve"> </w:t>
      </w:r>
      <w:r w:rsidR="00276910">
        <w:t>mostrando</w:t>
      </w:r>
      <w:r w:rsidR="00E44939" w:rsidRPr="00954142">
        <w:t xml:space="preserve"> una tasa de crecimiento del 9.6% (Q1,178.1 millones)</w:t>
      </w:r>
      <w:r w:rsidR="00276910">
        <w:t>,</w:t>
      </w:r>
      <w:r w:rsidR="00E44939" w:rsidRPr="00954142">
        <w:t xml:space="preserve"> mientras que las otras contribuciones sociales</w:t>
      </w:r>
      <w:r w:rsidR="004E4AD5" w:rsidRPr="00954142">
        <w:t xml:space="preserve"> </w:t>
      </w:r>
      <w:r w:rsidR="001D64B0" w:rsidRPr="00954142">
        <w:t>fueron</w:t>
      </w:r>
      <w:r w:rsidR="00E44939" w:rsidRPr="00954142">
        <w:t xml:space="preserve"> de Q</w:t>
      </w:r>
      <w:r w:rsidR="005D47D1" w:rsidRPr="00954142">
        <w:t>6,340.4 millones</w:t>
      </w:r>
      <w:r w:rsidR="00276910">
        <w:t>,</w:t>
      </w:r>
      <w:r w:rsidR="00F3587C" w:rsidRPr="00954142">
        <w:t xml:space="preserve"> con una variación </w:t>
      </w:r>
      <w:r w:rsidR="001D64B0" w:rsidRPr="00954142">
        <w:t>interanual de 2.5% (Q152.9 millones)</w:t>
      </w:r>
    </w:p>
    <w:p w14:paraId="1050FE28" w14:textId="31BE52DB" w:rsidR="000B07D1" w:rsidRPr="00954142" w:rsidRDefault="00F71E1E" w:rsidP="00255602">
      <w:r w:rsidRPr="00954142">
        <w:t>Es oportuno mencionar que e</w:t>
      </w:r>
      <w:r w:rsidR="00973D18" w:rsidRPr="00954142">
        <w:t>n términos del PIB</w:t>
      </w:r>
      <w:r w:rsidR="002A0171" w:rsidRPr="00954142">
        <w:t xml:space="preserve"> </w:t>
      </w:r>
      <w:r w:rsidR="00C9528C" w:rsidRPr="00954142">
        <w:t>las contribuciones sociales</w:t>
      </w:r>
      <w:r w:rsidR="009B4114" w:rsidRPr="00954142">
        <w:t xml:space="preserve"> equivale</w:t>
      </w:r>
      <w:r w:rsidR="00C9528C" w:rsidRPr="00954142">
        <w:t>n</w:t>
      </w:r>
      <w:r w:rsidR="009B4114" w:rsidRPr="00954142">
        <w:t xml:space="preserve"> al 2.7% y</w:t>
      </w:r>
      <w:r w:rsidR="00C9528C" w:rsidRPr="00954142">
        <w:t xml:space="preserve"> </w:t>
      </w:r>
      <w:r w:rsidR="00D123F6" w:rsidRPr="00954142">
        <w:t>hubo</w:t>
      </w:r>
      <w:r w:rsidR="009B4114" w:rsidRPr="00954142">
        <w:t xml:space="preserve"> una disminución de 0.1 puntos porcentuales respecto al </w:t>
      </w:r>
      <w:r w:rsidR="00340EF6" w:rsidRPr="00954142">
        <w:t xml:space="preserve">2.8% del PIB observado </w:t>
      </w:r>
      <w:r w:rsidR="00DE7A1D" w:rsidRPr="00954142">
        <w:t>en</w:t>
      </w:r>
      <w:r w:rsidR="00340EF6" w:rsidRPr="00954142">
        <w:t xml:space="preserve"> 2021</w:t>
      </w:r>
      <w:r w:rsidR="00DE7A1D" w:rsidRPr="00954142">
        <w:t xml:space="preserve">. </w:t>
      </w:r>
      <w:r w:rsidR="008F6894" w:rsidRPr="00954142">
        <w:t>E</w:t>
      </w:r>
      <w:r w:rsidR="00DE7A1D" w:rsidRPr="00954142">
        <w:t>sta d</w:t>
      </w:r>
      <w:r w:rsidR="005654B6" w:rsidRPr="00954142">
        <w:t>isminución</w:t>
      </w:r>
      <w:r w:rsidR="00A574DD" w:rsidRPr="00954142">
        <w:t xml:space="preserve"> es </w:t>
      </w:r>
      <w:r w:rsidR="00D123F6" w:rsidRPr="00954142">
        <w:t>producto de las otras contribuciones sociales</w:t>
      </w:r>
      <w:r w:rsidR="00C35573" w:rsidRPr="00954142">
        <w:t xml:space="preserve"> y no de las contribuciones a la seguridad social</w:t>
      </w:r>
      <w:r w:rsidR="005654B6" w:rsidRPr="00954142">
        <w:t xml:space="preserve"> ya que esta </w:t>
      </w:r>
      <w:r w:rsidR="00A9587A" w:rsidRPr="00954142">
        <w:t>última</w:t>
      </w:r>
      <w:r w:rsidR="005654B6" w:rsidRPr="00954142">
        <w:t xml:space="preserve"> no </w:t>
      </w:r>
      <w:r w:rsidR="00067AD8" w:rsidRPr="00954142">
        <w:t xml:space="preserve">presento variación en términos del PIB, siendo el equivalente al </w:t>
      </w:r>
      <w:r w:rsidR="00A9587A" w:rsidRPr="00954142">
        <w:t>1.8% del PIB de cada año.</w:t>
      </w:r>
    </w:p>
    <w:p w14:paraId="531F44E2" w14:textId="22E78AAA" w:rsidR="000B07D1" w:rsidRPr="00954142" w:rsidRDefault="00C4318D" w:rsidP="00255602">
      <w:r w:rsidRPr="00954142">
        <w:rPr>
          <w:noProof/>
          <w:sz w:val="24"/>
          <w:lang w:eastAsia="es-GT"/>
        </w:rPr>
        <w:drawing>
          <wp:inline distT="0" distB="0" distL="0" distR="0" wp14:anchorId="43A34F23" wp14:editId="6DE54C46">
            <wp:extent cx="5864860" cy="2088108"/>
            <wp:effectExtent l="0" t="0" r="2540" b="7620"/>
            <wp:docPr id="1411651892" name="Gráfico 14116518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E3958" w:rsidRPr="00954142">
        <w:t xml:space="preserve"> </w:t>
      </w:r>
    </w:p>
    <w:p w14:paraId="7E0B5894" w14:textId="0C149BBA" w:rsidR="00E66A98" w:rsidRPr="00954142" w:rsidRDefault="00E66A98" w:rsidP="00E66A98">
      <w:pPr>
        <w:pStyle w:val="Prrafodelista"/>
        <w:numPr>
          <w:ilvl w:val="0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49" w:name="_Toc135128836"/>
      <w:bookmarkStart w:id="50" w:name="_Toc135128869"/>
      <w:bookmarkStart w:id="51" w:name="_Toc135133709"/>
      <w:bookmarkStart w:id="52" w:name="_Toc135143046"/>
      <w:bookmarkStart w:id="53" w:name="_Toc136437131"/>
      <w:bookmarkStart w:id="54" w:name="_Toc136437164"/>
      <w:bookmarkStart w:id="55" w:name="_Toc136437191"/>
      <w:bookmarkStart w:id="56" w:name="_Toc136437219"/>
      <w:bookmarkStart w:id="57" w:name="_Toc13643746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4523242" w14:textId="77777777" w:rsidR="00E66A98" w:rsidRPr="00954142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58" w:name="_Toc31612760"/>
      <w:bookmarkStart w:id="59" w:name="_Toc31612792"/>
      <w:bookmarkStart w:id="60" w:name="_Toc31614818"/>
      <w:bookmarkStart w:id="61" w:name="_Toc31614850"/>
      <w:bookmarkStart w:id="62" w:name="_Toc31618687"/>
      <w:bookmarkStart w:id="63" w:name="_Toc31618720"/>
      <w:bookmarkStart w:id="64" w:name="_Toc31624496"/>
      <w:bookmarkStart w:id="65" w:name="_Toc31625348"/>
      <w:bookmarkStart w:id="66" w:name="_Toc31626803"/>
      <w:bookmarkStart w:id="67" w:name="_Toc31811254"/>
      <w:bookmarkStart w:id="68" w:name="_Toc31811699"/>
      <w:bookmarkStart w:id="69" w:name="_Toc31971862"/>
      <w:bookmarkStart w:id="70" w:name="_Toc32230884"/>
      <w:bookmarkStart w:id="71" w:name="_Toc33109783"/>
      <w:bookmarkStart w:id="72" w:name="_Toc33109826"/>
      <w:bookmarkStart w:id="73" w:name="_Toc33180547"/>
      <w:bookmarkStart w:id="74" w:name="_Toc33180641"/>
      <w:bookmarkStart w:id="75" w:name="_Toc33193538"/>
      <w:bookmarkStart w:id="76" w:name="_Toc33193577"/>
      <w:bookmarkStart w:id="77" w:name="_Toc33196774"/>
      <w:bookmarkStart w:id="78" w:name="_Toc40691750"/>
      <w:bookmarkStart w:id="79" w:name="_Toc40959153"/>
      <w:bookmarkStart w:id="80" w:name="_Toc40975987"/>
      <w:bookmarkStart w:id="81" w:name="_Toc40976056"/>
      <w:bookmarkStart w:id="82" w:name="_Toc40993311"/>
      <w:bookmarkStart w:id="83" w:name="_Toc40993693"/>
      <w:bookmarkStart w:id="84" w:name="_Toc41037569"/>
      <w:bookmarkStart w:id="85" w:name="_Toc41254129"/>
      <w:bookmarkStart w:id="86" w:name="_Toc41254161"/>
      <w:bookmarkStart w:id="87" w:name="_Toc41254181"/>
      <w:bookmarkStart w:id="88" w:name="_Toc42023954"/>
      <w:bookmarkStart w:id="89" w:name="_Toc42024007"/>
      <w:bookmarkStart w:id="90" w:name="_Toc42069105"/>
      <w:bookmarkStart w:id="91" w:name="_Toc49422051"/>
      <w:bookmarkStart w:id="92" w:name="_Toc49422077"/>
      <w:bookmarkStart w:id="93" w:name="_Toc49430656"/>
      <w:bookmarkStart w:id="94" w:name="_Toc49430682"/>
      <w:bookmarkStart w:id="95" w:name="_Toc49750459"/>
      <w:bookmarkStart w:id="96" w:name="_Toc49750709"/>
      <w:bookmarkStart w:id="97" w:name="_Toc49750737"/>
      <w:bookmarkStart w:id="98" w:name="_Toc55284823"/>
      <w:bookmarkStart w:id="99" w:name="_Toc55298841"/>
      <w:bookmarkStart w:id="100" w:name="_Toc55373822"/>
      <w:bookmarkStart w:id="101" w:name="_Toc55373995"/>
      <w:bookmarkStart w:id="102" w:name="_Toc55375132"/>
      <w:bookmarkStart w:id="103" w:name="_Toc55396540"/>
      <w:bookmarkStart w:id="104" w:name="_Toc65230536"/>
      <w:bookmarkStart w:id="105" w:name="_Toc65230774"/>
      <w:bookmarkStart w:id="106" w:name="_Toc65232058"/>
      <w:bookmarkStart w:id="107" w:name="_Toc65232303"/>
      <w:bookmarkStart w:id="108" w:name="_Toc66716162"/>
      <w:bookmarkStart w:id="109" w:name="_Toc71097207"/>
      <w:bookmarkStart w:id="110" w:name="_Toc71097238"/>
      <w:bookmarkStart w:id="111" w:name="_Toc71097313"/>
      <w:bookmarkStart w:id="112" w:name="_Toc71108053"/>
      <w:bookmarkStart w:id="113" w:name="_Toc79055247"/>
      <w:bookmarkStart w:id="114" w:name="_Toc79055278"/>
      <w:bookmarkStart w:id="115" w:name="_Toc79060169"/>
      <w:bookmarkStart w:id="116" w:name="_Toc79060456"/>
      <w:bookmarkStart w:id="117" w:name="_Toc81307813"/>
      <w:bookmarkStart w:id="118" w:name="_Toc83376474"/>
      <w:bookmarkStart w:id="119" w:name="_Toc86386713"/>
      <w:bookmarkStart w:id="120" w:name="_Toc86405399"/>
      <w:bookmarkStart w:id="121" w:name="_Toc98162429"/>
      <w:bookmarkStart w:id="122" w:name="_Toc98162461"/>
      <w:bookmarkStart w:id="123" w:name="_Toc98234987"/>
      <w:bookmarkStart w:id="124" w:name="_Toc98235182"/>
      <w:bookmarkStart w:id="125" w:name="_Toc98235267"/>
      <w:bookmarkStart w:id="126" w:name="_Toc98757137"/>
      <w:bookmarkStart w:id="127" w:name="_Toc101874692"/>
      <w:bookmarkStart w:id="128" w:name="_Toc101954148"/>
      <w:bookmarkStart w:id="129" w:name="_Toc101971965"/>
      <w:bookmarkStart w:id="130" w:name="_Toc101974057"/>
      <w:bookmarkStart w:id="131" w:name="_Toc102039742"/>
      <w:bookmarkStart w:id="132" w:name="_Toc102039780"/>
      <w:bookmarkStart w:id="133" w:name="_Toc102039820"/>
      <w:bookmarkStart w:id="134" w:name="_Toc102039851"/>
      <w:bookmarkStart w:id="135" w:name="_Toc102040909"/>
      <w:bookmarkStart w:id="136" w:name="_Toc102477757"/>
      <w:bookmarkStart w:id="137" w:name="_Toc102477788"/>
      <w:bookmarkStart w:id="138" w:name="_Toc109824818"/>
      <w:bookmarkStart w:id="139" w:name="_Toc109828774"/>
      <w:bookmarkStart w:id="140" w:name="_Toc109828837"/>
      <w:bookmarkStart w:id="141" w:name="_Toc109829013"/>
      <w:bookmarkStart w:id="142" w:name="_Toc109829044"/>
      <w:bookmarkStart w:id="143" w:name="_Toc109833888"/>
      <w:bookmarkStart w:id="144" w:name="_Toc110237431"/>
      <w:bookmarkStart w:id="145" w:name="_Toc117775308"/>
      <w:bookmarkStart w:id="146" w:name="_Toc117781277"/>
      <w:bookmarkStart w:id="147" w:name="_Toc125620806"/>
      <w:bookmarkStart w:id="148" w:name="_Toc125620837"/>
      <w:bookmarkStart w:id="149" w:name="_Toc125620868"/>
      <w:bookmarkStart w:id="150" w:name="_Toc125620904"/>
      <w:bookmarkStart w:id="151" w:name="_Toc125620935"/>
      <w:bookmarkStart w:id="152" w:name="_Toc125620968"/>
      <w:bookmarkStart w:id="153" w:name="_Toc125621021"/>
      <w:bookmarkStart w:id="154" w:name="_Toc125621075"/>
      <w:bookmarkStart w:id="155" w:name="_Toc125623553"/>
      <w:bookmarkStart w:id="156" w:name="_Toc125623585"/>
      <w:bookmarkStart w:id="157" w:name="_Toc125623617"/>
      <w:bookmarkStart w:id="158" w:name="_Toc125970363"/>
      <w:bookmarkStart w:id="159" w:name="_Toc125970395"/>
      <w:bookmarkStart w:id="160" w:name="_Toc127365846"/>
      <w:bookmarkStart w:id="161" w:name="_Toc127434598"/>
      <w:bookmarkStart w:id="162" w:name="_Toc127436965"/>
      <w:bookmarkStart w:id="163" w:name="_Toc127437327"/>
      <w:bookmarkStart w:id="164" w:name="_Toc127437680"/>
      <w:bookmarkStart w:id="165" w:name="_Toc135128837"/>
      <w:bookmarkStart w:id="166" w:name="_Toc135128870"/>
      <w:bookmarkStart w:id="167" w:name="_Toc135133710"/>
      <w:bookmarkStart w:id="168" w:name="_Toc135143047"/>
      <w:bookmarkStart w:id="169" w:name="_Toc136437132"/>
      <w:bookmarkStart w:id="170" w:name="_Toc136437165"/>
      <w:bookmarkStart w:id="171" w:name="_Toc136437192"/>
      <w:bookmarkStart w:id="172" w:name="_Toc136437220"/>
      <w:bookmarkStart w:id="173" w:name="_Toc13643746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305ED7A2" w14:textId="77777777" w:rsidR="00E66A98" w:rsidRPr="00954142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174" w:name="_Toc31612761"/>
      <w:bookmarkStart w:id="175" w:name="_Toc31612793"/>
      <w:bookmarkStart w:id="176" w:name="_Toc31614819"/>
      <w:bookmarkStart w:id="177" w:name="_Toc31614851"/>
      <w:bookmarkStart w:id="178" w:name="_Toc31618688"/>
      <w:bookmarkStart w:id="179" w:name="_Toc31618721"/>
      <w:bookmarkStart w:id="180" w:name="_Toc31624497"/>
      <w:bookmarkStart w:id="181" w:name="_Toc31625349"/>
      <w:bookmarkStart w:id="182" w:name="_Toc31626804"/>
      <w:bookmarkStart w:id="183" w:name="_Toc31811255"/>
      <w:bookmarkStart w:id="184" w:name="_Toc31811700"/>
      <w:bookmarkStart w:id="185" w:name="_Toc31971863"/>
      <w:bookmarkStart w:id="186" w:name="_Toc32230885"/>
      <w:bookmarkStart w:id="187" w:name="_Toc33109784"/>
      <w:bookmarkStart w:id="188" w:name="_Toc33109827"/>
      <w:bookmarkStart w:id="189" w:name="_Toc33180548"/>
      <w:bookmarkStart w:id="190" w:name="_Toc33180642"/>
      <w:bookmarkStart w:id="191" w:name="_Toc33193539"/>
      <w:bookmarkStart w:id="192" w:name="_Toc33193578"/>
      <w:bookmarkStart w:id="193" w:name="_Toc33196775"/>
      <w:bookmarkStart w:id="194" w:name="_Toc40691751"/>
      <w:bookmarkStart w:id="195" w:name="_Toc40959154"/>
      <w:bookmarkStart w:id="196" w:name="_Toc40975988"/>
      <w:bookmarkStart w:id="197" w:name="_Toc40976057"/>
      <w:bookmarkStart w:id="198" w:name="_Toc40993312"/>
      <w:bookmarkStart w:id="199" w:name="_Toc40993694"/>
      <w:bookmarkStart w:id="200" w:name="_Toc41037570"/>
      <w:bookmarkStart w:id="201" w:name="_Toc41254130"/>
      <w:bookmarkStart w:id="202" w:name="_Toc41254162"/>
      <w:bookmarkStart w:id="203" w:name="_Toc41254182"/>
      <w:bookmarkStart w:id="204" w:name="_Toc42023955"/>
      <w:bookmarkStart w:id="205" w:name="_Toc42024008"/>
      <w:bookmarkStart w:id="206" w:name="_Toc42069106"/>
      <w:bookmarkStart w:id="207" w:name="_Toc49422052"/>
      <w:bookmarkStart w:id="208" w:name="_Toc49422078"/>
      <w:bookmarkStart w:id="209" w:name="_Toc49430657"/>
      <w:bookmarkStart w:id="210" w:name="_Toc49430683"/>
      <w:bookmarkStart w:id="211" w:name="_Toc49750460"/>
      <w:bookmarkStart w:id="212" w:name="_Toc49750710"/>
      <w:bookmarkStart w:id="213" w:name="_Toc49750738"/>
      <w:bookmarkStart w:id="214" w:name="_Toc55284824"/>
      <w:bookmarkStart w:id="215" w:name="_Toc55298842"/>
      <w:bookmarkStart w:id="216" w:name="_Toc55373823"/>
      <w:bookmarkStart w:id="217" w:name="_Toc55373996"/>
      <w:bookmarkStart w:id="218" w:name="_Toc55375133"/>
      <w:bookmarkStart w:id="219" w:name="_Toc55396541"/>
      <w:bookmarkStart w:id="220" w:name="_Toc65230537"/>
      <w:bookmarkStart w:id="221" w:name="_Toc65230775"/>
      <w:bookmarkStart w:id="222" w:name="_Toc65232059"/>
      <w:bookmarkStart w:id="223" w:name="_Toc65232304"/>
      <w:bookmarkStart w:id="224" w:name="_Toc66716163"/>
      <w:bookmarkStart w:id="225" w:name="_Toc71097208"/>
      <w:bookmarkStart w:id="226" w:name="_Toc71097239"/>
      <w:bookmarkStart w:id="227" w:name="_Toc71097314"/>
      <w:bookmarkStart w:id="228" w:name="_Toc71108054"/>
      <w:bookmarkStart w:id="229" w:name="_Toc79055248"/>
      <w:bookmarkStart w:id="230" w:name="_Toc79055279"/>
      <w:bookmarkStart w:id="231" w:name="_Toc79060170"/>
      <w:bookmarkStart w:id="232" w:name="_Toc79060457"/>
      <w:bookmarkStart w:id="233" w:name="_Toc81307814"/>
      <w:bookmarkStart w:id="234" w:name="_Toc83376475"/>
      <w:bookmarkStart w:id="235" w:name="_Toc86386714"/>
      <w:bookmarkStart w:id="236" w:name="_Toc86405400"/>
      <w:bookmarkStart w:id="237" w:name="_Toc98162430"/>
      <w:bookmarkStart w:id="238" w:name="_Toc98162462"/>
      <w:bookmarkStart w:id="239" w:name="_Toc98234988"/>
      <w:bookmarkStart w:id="240" w:name="_Toc98235183"/>
      <w:bookmarkStart w:id="241" w:name="_Toc98235268"/>
      <w:bookmarkStart w:id="242" w:name="_Toc98757138"/>
      <w:bookmarkStart w:id="243" w:name="_Toc101874693"/>
      <w:bookmarkStart w:id="244" w:name="_Toc101954149"/>
      <w:bookmarkStart w:id="245" w:name="_Toc101971966"/>
      <w:bookmarkStart w:id="246" w:name="_Toc101974058"/>
      <w:bookmarkStart w:id="247" w:name="_Toc102039743"/>
      <w:bookmarkStart w:id="248" w:name="_Toc102039781"/>
      <w:bookmarkStart w:id="249" w:name="_Toc102039821"/>
      <w:bookmarkStart w:id="250" w:name="_Toc102039852"/>
      <w:bookmarkStart w:id="251" w:name="_Toc102040910"/>
      <w:bookmarkStart w:id="252" w:name="_Toc102477758"/>
      <w:bookmarkStart w:id="253" w:name="_Toc102477789"/>
      <w:bookmarkStart w:id="254" w:name="_Toc109824819"/>
      <w:bookmarkStart w:id="255" w:name="_Toc109828775"/>
      <w:bookmarkStart w:id="256" w:name="_Toc109828838"/>
      <w:bookmarkStart w:id="257" w:name="_Toc109829014"/>
      <w:bookmarkStart w:id="258" w:name="_Toc109829045"/>
      <w:bookmarkStart w:id="259" w:name="_Toc109833889"/>
      <w:bookmarkStart w:id="260" w:name="_Toc110237432"/>
      <w:bookmarkStart w:id="261" w:name="_Toc117775309"/>
      <w:bookmarkStart w:id="262" w:name="_Toc117781278"/>
      <w:bookmarkStart w:id="263" w:name="_Toc125620807"/>
      <w:bookmarkStart w:id="264" w:name="_Toc125620838"/>
      <w:bookmarkStart w:id="265" w:name="_Toc125620869"/>
      <w:bookmarkStart w:id="266" w:name="_Toc125620905"/>
      <w:bookmarkStart w:id="267" w:name="_Toc125620936"/>
      <w:bookmarkStart w:id="268" w:name="_Toc125620969"/>
      <w:bookmarkStart w:id="269" w:name="_Toc125621022"/>
      <w:bookmarkStart w:id="270" w:name="_Toc125621076"/>
      <w:bookmarkStart w:id="271" w:name="_Toc125623554"/>
      <w:bookmarkStart w:id="272" w:name="_Toc125623586"/>
      <w:bookmarkStart w:id="273" w:name="_Toc125623618"/>
      <w:bookmarkStart w:id="274" w:name="_Toc125970364"/>
      <w:bookmarkStart w:id="275" w:name="_Toc125970396"/>
      <w:bookmarkStart w:id="276" w:name="_Toc127365847"/>
      <w:bookmarkStart w:id="277" w:name="_Toc127434599"/>
      <w:bookmarkStart w:id="278" w:name="_Toc127436966"/>
      <w:bookmarkStart w:id="279" w:name="_Toc127437328"/>
      <w:bookmarkStart w:id="280" w:name="_Toc127437681"/>
      <w:bookmarkStart w:id="281" w:name="_Toc135128838"/>
      <w:bookmarkStart w:id="282" w:name="_Toc135128871"/>
      <w:bookmarkStart w:id="283" w:name="_Toc135133711"/>
      <w:bookmarkStart w:id="284" w:name="_Toc135143048"/>
      <w:bookmarkStart w:id="285" w:name="_Toc136437133"/>
      <w:bookmarkStart w:id="286" w:name="_Toc136437166"/>
      <w:bookmarkStart w:id="287" w:name="_Toc136437193"/>
      <w:bookmarkStart w:id="288" w:name="_Toc136437221"/>
      <w:bookmarkStart w:id="289" w:name="_Toc136437468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41832A88" w14:textId="3707C5DC" w:rsidR="008C0B31" w:rsidRPr="00954142" w:rsidRDefault="008C0B31" w:rsidP="00D66284">
      <w:pPr>
        <w:pStyle w:val="Ttulo1"/>
        <w:numPr>
          <w:ilvl w:val="0"/>
          <w:numId w:val="46"/>
        </w:numPr>
        <w:rPr>
          <w:lang w:val="es-ES_tradnl" w:eastAsia="es-ES"/>
        </w:rPr>
      </w:pPr>
      <w:bookmarkStart w:id="290" w:name="_Toc136437469"/>
      <w:r w:rsidRPr="00954142">
        <w:rPr>
          <w:lang w:val="es-ES_tradnl" w:eastAsia="es-ES"/>
        </w:rPr>
        <w:t>Gasto Público</w:t>
      </w:r>
      <w:bookmarkEnd w:id="290"/>
    </w:p>
    <w:p w14:paraId="02025EE4" w14:textId="123BE5A5" w:rsidR="00770433" w:rsidRPr="00954142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291" w:name="_Toc471986932"/>
      <w:bookmarkStart w:id="292" w:name="_Toc471987067"/>
      <w:bookmarkStart w:id="293" w:name="_Toc471987115"/>
      <w:bookmarkStart w:id="294" w:name="_Toc471987137"/>
      <w:bookmarkStart w:id="295" w:name="_Toc472082165"/>
      <w:bookmarkStart w:id="296" w:name="_Toc472082197"/>
      <w:bookmarkStart w:id="297" w:name="_Toc472089913"/>
      <w:bookmarkStart w:id="298" w:name="_Toc472089936"/>
      <w:bookmarkStart w:id="299" w:name="_Toc505346063"/>
      <w:bookmarkStart w:id="300" w:name="_Toc505349878"/>
      <w:bookmarkStart w:id="301" w:name="_Toc534985836"/>
      <w:bookmarkStart w:id="302" w:name="_Toc534988229"/>
      <w:bookmarkStart w:id="303" w:name="_Toc31611549"/>
      <w:bookmarkStart w:id="304" w:name="_Toc31612768"/>
      <w:bookmarkStart w:id="305" w:name="_Toc31612800"/>
      <w:bookmarkStart w:id="306" w:name="_Toc31614826"/>
      <w:bookmarkStart w:id="307" w:name="_Toc31614858"/>
      <w:bookmarkStart w:id="308" w:name="_Toc31618695"/>
      <w:bookmarkStart w:id="309" w:name="_Toc31618728"/>
      <w:bookmarkStart w:id="310" w:name="_Toc31624504"/>
      <w:bookmarkStart w:id="311" w:name="_Toc31625356"/>
      <w:bookmarkStart w:id="312" w:name="_Toc31626811"/>
      <w:bookmarkStart w:id="313" w:name="_Toc31811262"/>
      <w:bookmarkStart w:id="314" w:name="_Toc31811707"/>
      <w:bookmarkStart w:id="315" w:name="_Toc31971870"/>
      <w:bookmarkStart w:id="316" w:name="_Toc32230892"/>
      <w:bookmarkStart w:id="317" w:name="_Toc33109788"/>
      <w:bookmarkStart w:id="318" w:name="_Toc33109831"/>
      <w:bookmarkStart w:id="319" w:name="_Toc33180552"/>
      <w:bookmarkStart w:id="320" w:name="_Toc33180646"/>
      <w:bookmarkStart w:id="321" w:name="_Toc33193543"/>
      <w:bookmarkStart w:id="322" w:name="_Toc33193582"/>
      <w:bookmarkStart w:id="323" w:name="_Toc33196779"/>
      <w:bookmarkStart w:id="324" w:name="_Toc40691755"/>
      <w:bookmarkStart w:id="325" w:name="_Toc40959156"/>
      <w:bookmarkStart w:id="326" w:name="_Toc40975990"/>
      <w:bookmarkStart w:id="327" w:name="_Toc40976059"/>
      <w:bookmarkStart w:id="328" w:name="_Toc40993314"/>
      <w:bookmarkStart w:id="329" w:name="_Toc40993696"/>
      <w:bookmarkStart w:id="330" w:name="_Toc41037572"/>
      <w:bookmarkStart w:id="331" w:name="_Toc41254132"/>
      <w:bookmarkStart w:id="332" w:name="_Toc41254164"/>
      <w:bookmarkStart w:id="333" w:name="_Toc41254184"/>
      <w:bookmarkStart w:id="334" w:name="_Toc42023958"/>
      <w:bookmarkStart w:id="335" w:name="_Toc42024010"/>
      <w:bookmarkStart w:id="336" w:name="_Toc42069108"/>
      <w:bookmarkStart w:id="337" w:name="_Toc49422054"/>
      <w:bookmarkStart w:id="338" w:name="_Toc49422080"/>
      <w:bookmarkStart w:id="339" w:name="_Toc49430659"/>
      <w:bookmarkStart w:id="340" w:name="_Toc49430685"/>
      <w:bookmarkStart w:id="341" w:name="_Toc49750462"/>
      <w:bookmarkStart w:id="342" w:name="_Toc49750712"/>
      <w:bookmarkStart w:id="343" w:name="_Toc49750740"/>
      <w:bookmarkStart w:id="344" w:name="_Toc55284826"/>
      <w:bookmarkStart w:id="345" w:name="_Toc55298844"/>
      <w:bookmarkStart w:id="346" w:name="_Toc55373825"/>
      <w:bookmarkStart w:id="347" w:name="_Toc55373998"/>
      <w:bookmarkStart w:id="348" w:name="_Toc55375135"/>
      <w:bookmarkStart w:id="349" w:name="_Toc55396543"/>
      <w:bookmarkStart w:id="350" w:name="_Toc65230539"/>
      <w:bookmarkStart w:id="351" w:name="_Toc65230777"/>
      <w:bookmarkStart w:id="352" w:name="_Toc65232061"/>
      <w:bookmarkStart w:id="353" w:name="_Toc65232306"/>
      <w:bookmarkStart w:id="354" w:name="_Toc66716165"/>
      <w:bookmarkStart w:id="355" w:name="_Toc71097210"/>
      <w:bookmarkStart w:id="356" w:name="_Toc71097241"/>
      <w:bookmarkStart w:id="357" w:name="_Toc71097316"/>
      <w:bookmarkStart w:id="358" w:name="_Toc71108056"/>
      <w:bookmarkStart w:id="359" w:name="_Toc79055250"/>
      <w:bookmarkStart w:id="360" w:name="_Toc79055281"/>
      <w:bookmarkStart w:id="361" w:name="_Toc79060172"/>
      <w:bookmarkStart w:id="362" w:name="_Toc79060459"/>
      <w:bookmarkStart w:id="363" w:name="_Toc81307816"/>
      <w:bookmarkStart w:id="364" w:name="_Toc83376477"/>
      <w:bookmarkStart w:id="365" w:name="_Toc86386716"/>
      <w:bookmarkStart w:id="366" w:name="_Toc86405402"/>
      <w:bookmarkStart w:id="367" w:name="_Toc98162432"/>
      <w:bookmarkStart w:id="368" w:name="_Toc98162464"/>
      <w:bookmarkStart w:id="369" w:name="_Toc98234990"/>
      <w:bookmarkStart w:id="370" w:name="_Toc98235185"/>
      <w:bookmarkStart w:id="371" w:name="_Toc98235270"/>
      <w:bookmarkStart w:id="372" w:name="_Toc98757140"/>
      <w:bookmarkStart w:id="373" w:name="_Toc101874695"/>
      <w:bookmarkStart w:id="374" w:name="_Toc101954151"/>
      <w:bookmarkStart w:id="375" w:name="_Toc101971968"/>
      <w:bookmarkStart w:id="376" w:name="_Toc101974060"/>
      <w:bookmarkStart w:id="377" w:name="_Toc102039745"/>
      <w:bookmarkStart w:id="378" w:name="_Toc102039783"/>
      <w:bookmarkStart w:id="379" w:name="_Toc102039823"/>
      <w:bookmarkStart w:id="380" w:name="_Toc102039854"/>
      <w:bookmarkStart w:id="381" w:name="_Toc102040912"/>
      <w:bookmarkStart w:id="382" w:name="_Toc102477760"/>
      <w:bookmarkStart w:id="383" w:name="_Toc102477791"/>
      <w:bookmarkStart w:id="384" w:name="_Toc109824821"/>
      <w:bookmarkStart w:id="385" w:name="_Toc109828777"/>
      <w:bookmarkStart w:id="386" w:name="_Toc109828840"/>
      <w:bookmarkStart w:id="387" w:name="_Toc109829016"/>
      <w:bookmarkStart w:id="388" w:name="_Toc109829047"/>
      <w:bookmarkStart w:id="389" w:name="_Toc109833891"/>
      <w:bookmarkStart w:id="390" w:name="_Toc110237434"/>
      <w:bookmarkStart w:id="391" w:name="_Toc117775311"/>
      <w:bookmarkStart w:id="392" w:name="_Toc117781280"/>
      <w:bookmarkStart w:id="393" w:name="_Toc125620809"/>
      <w:bookmarkStart w:id="394" w:name="_Toc125620840"/>
      <w:bookmarkStart w:id="395" w:name="_Toc125620871"/>
      <w:bookmarkStart w:id="396" w:name="_Toc125620907"/>
      <w:bookmarkStart w:id="397" w:name="_Toc125620938"/>
      <w:bookmarkStart w:id="398" w:name="_Toc125620971"/>
      <w:bookmarkStart w:id="399" w:name="_Toc125621024"/>
      <w:bookmarkStart w:id="400" w:name="_Toc125621078"/>
      <w:bookmarkStart w:id="401" w:name="_Toc125623556"/>
      <w:bookmarkStart w:id="402" w:name="_Toc125623588"/>
      <w:bookmarkStart w:id="403" w:name="_Toc125623620"/>
      <w:bookmarkStart w:id="404" w:name="_Toc125970366"/>
      <w:bookmarkStart w:id="405" w:name="_Toc125970398"/>
      <w:bookmarkStart w:id="406" w:name="_Toc127365849"/>
      <w:bookmarkStart w:id="407" w:name="_Toc127434601"/>
      <w:bookmarkStart w:id="408" w:name="_Toc127436968"/>
      <w:bookmarkStart w:id="409" w:name="_Toc127437330"/>
      <w:bookmarkStart w:id="410" w:name="_Toc127437683"/>
      <w:bookmarkStart w:id="411" w:name="_Toc135128840"/>
      <w:bookmarkStart w:id="412" w:name="_Toc135128873"/>
      <w:bookmarkStart w:id="413" w:name="_Toc135133713"/>
      <w:bookmarkStart w:id="414" w:name="_Toc135143050"/>
      <w:bookmarkStart w:id="415" w:name="_Toc136437135"/>
      <w:bookmarkStart w:id="416" w:name="_Toc136437168"/>
      <w:bookmarkStart w:id="417" w:name="_Toc136437195"/>
      <w:bookmarkStart w:id="418" w:name="_Toc136437223"/>
      <w:bookmarkStart w:id="419" w:name="_Toc13643747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14:paraId="2FFEEFA0" w14:textId="77777777" w:rsidR="00770433" w:rsidRPr="00954142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420" w:name="_Toc472082166"/>
      <w:bookmarkStart w:id="421" w:name="_Toc472082198"/>
      <w:bookmarkStart w:id="422" w:name="_Toc472089914"/>
      <w:bookmarkStart w:id="423" w:name="_Toc472089937"/>
      <w:bookmarkStart w:id="424" w:name="_Toc505346064"/>
      <w:bookmarkStart w:id="425" w:name="_Toc505349879"/>
      <w:bookmarkStart w:id="426" w:name="_Toc534985837"/>
      <w:bookmarkStart w:id="427" w:name="_Toc534988230"/>
      <w:bookmarkStart w:id="428" w:name="_Toc31611550"/>
      <w:bookmarkStart w:id="429" w:name="_Toc31612769"/>
      <w:bookmarkStart w:id="430" w:name="_Toc31612801"/>
      <w:bookmarkStart w:id="431" w:name="_Toc31614827"/>
      <w:bookmarkStart w:id="432" w:name="_Toc31614859"/>
      <w:bookmarkStart w:id="433" w:name="_Toc31618696"/>
      <w:bookmarkStart w:id="434" w:name="_Toc31618729"/>
      <w:bookmarkStart w:id="435" w:name="_Toc31624505"/>
      <w:bookmarkStart w:id="436" w:name="_Toc31625357"/>
      <w:bookmarkStart w:id="437" w:name="_Toc31626812"/>
      <w:bookmarkStart w:id="438" w:name="_Toc31811263"/>
      <w:bookmarkStart w:id="439" w:name="_Toc31811708"/>
      <w:bookmarkStart w:id="440" w:name="_Toc31971871"/>
      <w:bookmarkStart w:id="441" w:name="_Toc32230893"/>
      <w:bookmarkStart w:id="442" w:name="_Toc33109789"/>
      <w:bookmarkStart w:id="443" w:name="_Toc33109832"/>
      <w:bookmarkStart w:id="444" w:name="_Toc33180553"/>
      <w:bookmarkStart w:id="445" w:name="_Toc33180647"/>
      <w:bookmarkStart w:id="446" w:name="_Toc33193544"/>
      <w:bookmarkStart w:id="447" w:name="_Toc33193583"/>
      <w:bookmarkStart w:id="448" w:name="_Toc33196780"/>
      <w:bookmarkStart w:id="449" w:name="_Toc40691756"/>
      <w:bookmarkStart w:id="450" w:name="_Toc40959157"/>
      <w:bookmarkStart w:id="451" w:name="_Toc40975991"/>
      <w:bookmarkStart w:id="452" w:name="_Toc40976060"/>
      <w:bookmarkStart w:id="453" w:name="_Toc40993315"/>
      <w:bookmarkStart w:id="454" w:name="_Toc40993697"/>
      <w:bookmarkStart w:id="455" w:name="_Toc41037573"/>
      <w:bookmarkStart w:id="456" w:name="_Toc41254133"/>
      <w:bookmarkStart w:id="457" w:name="_Toc41254165"/>
      <w:bookmarkStart w:id="458" w:name="_Toc41254185"/>
      <w:bookmarkStart w:id="459" w:name="_Toc42023959"/>
      <w:bookmarkStart w:id="460" w:name="_Toc42024011"/>
      <w:bookmarkStart w:id="461" w:name="_Toc42069109"/>
      <w:bookmarkStart w:id="462" w:name="_Toc49422055"/>
      <w:bookmarkStart w:id="463" w:name="_Toc49422081"/>
      <w:bookmarkStart w:id="464" w:name="_Toc49430660"/>
      <w:bookmarkStart w:id="465" w:name="_Toc49430686"/>
      <w:bookmarkStart w:id="466" w:name="_Toc49750463"/>
      <w:bookmarkStart w:id="467" w:name="_Toc49750713"/>
      <w:bookmarkStart w:id="468" w:name="_Toc49750741"/>
      <w:bookmarkStart w:id="469" w:name="_Toc55284827"/>
      <w:bookmarkStart w:id="470" w:name="_Toc55298845"/>
      <w:bookmarkStart w:id="471" w:name="_Toc55373826"/>
      <w:bookmarkStart w:id="472" w:name="_Toc55373999"/>
      <w:bookmarkStart w:id="473" w:name="_Toc55375136"/>
      <w:bookmarkStart w:id="474" w:name="_Toc55396544"/>
      <w:bookmarkStart w:id="475" w:name="_Toc65230540"/>
      <w:bookmarkStart w:id="476" w:name="_Toc65230778"/>
      <w:bookmarkStart w:id="477" w:name="_Toc65232062"/>
      <w:bookmarkStart w:id="478" w:name="_Toc65232307"/>
      <w:bookmarkStart w:id="479" w:name="_Toc66716166"/>
      <w:bookmarkStart w:id="480" w:name="_Toc71097211"/>
      <w:bookmarkStart w:id="481" w:name="_Toc71097242"/>
      <w:bookmarkStart w:id="482" w:name="_Toc71097317"/>
      <w:bookmarkStart w:id="483" w:name="_Toc71108057"/>
      <w:bookmarkStart w:id="484" w:name="_Toc79055251"/>
      <w:bookmarkStart w:id="485" w:name="_Toc79055282"/>
      <w:bookmarkStart w:id="486" w:name="_Toc79060173"/>
      <w:bookmarkStart w:id="487" w:name="_Toc79060460"/>
      <w:bookmarkStart w:id="488" w:name="_Toc81307817"/>
      <w:bookmarkStart w:id="489" w:name="_Toc83376478"/>
      <w:bookmarkStart w:id="490" w:name="_Toc86386717"/>
      <w:bookmarkStart w:id="491" w:name="_Toc86405403"/>
      <w:bookmarkStart w:id="492" w:name="_Toc98162433"/>
      <w:bookmarkStart w:id="493" w:name="_Toc98162465"/>
      <w:bookmarkStart w:id="494" w:name="_Toc98234991"/>
      <w:bookmarkStart w:id="495" w:name="_Toc98235186"/>
      <w:bookmarkStart w:id="496" w:name="_Toc98235271"/>
      <w:bookmarkStart w:id="497" w:name="_Toc98757141"/>
      <w:bookmarkStart w:id="498" w:name="_Toc101874696"/>
      <w:bookmarkStart w:id="499" w:name="_Toc101954152"/>
      <w:bookmarkStart w:id="500" w:name="_Toc101971969"/>
      <w:bookmarkStart w:id="501" w:name="_Toc101974061"/>
      <w:bookmarkStart w:id="502" w:name="_Toc102039746"/>
      <w:bookmarkStart w:id="503" w:name="_Toc102039784"/>
      <w:bookmarkStart w:id="504" w:name="_Toc102039824"/>
      <w:bookmarkStart w:id="505" w:name="_Toc102039855"/>
      <w:bookmarkStart w:id="506" w:name="_Toc102040913"/>
      <w:bookmarkStart w:id="507" w:name="_Toc102477761"/>
      <w:bookmarkStart w:id="508" w:name="_Toc102477792"/>
      <w:bookmarkStart w:id="509" w:name="_Toc109824822"/>
      <w:bookmarkStart w:id="510" w:name="_Toc109828778"/>
      <w:bookmarkStart w:id="511" w:name="_Toc109828841"/>
      <w:bookmarkStart w:id="512" w:name="_Toc109829017"/>
      <w:bookmarkStart w:id="513" w:name="_Toc109829048"/>
      <w:bookmarkStart w:id="514" w:name="_Toc109833892"/>
      <w:bookmarkStart w:id="515" w:name="_Toc110237435"/>
      <w:bookmarkStart w:id="516" w:name="_Toc117775312"/>
      <w:bookmarkStart w:id="517" w:name="_Toc117781281"/>
      <w:bookmarkStart w:id="518" w:name="_Toc125620810"/>
      <w:bookmarkStart w:id="519" w:name="_Toc125620841"/>
      <w:bookmarkStart w:id="520" w:name="_Toc125620872"/>
      <w:bookmarkStart w:id="521" w:name="_Toc125620908"/>
      <w:bookmarkStart w:id="522" w:name="_Toc125620939"/>
      <w:bookmarkStart w:id="523" w:name="_Toc125620972"/>
      <w:bookmarkStart w:id="524" w:name="_Toc125621025"/>
      <w:bookmarkStart w:id="525" w:name="_Toc125621079"/>
      <w:bookmarkStart w:id="526" w:name="_Toc125623557"/>
      <w:bookmarkStart w:id="527" w:name="_Toc125623589"/>
      <w:bookmarkStart w:id="528" w:name="_Toc125623621"/>
      <w:bookmarkStart w:id="529" w:name="_Toc125970367"/>
      <w:bookmarkStart w:id="530" w:name="_Toc125970399"/>
      <w:bookmarkStart w:id="531" w:name="_Toc127365850"/>
      <w:bookmarkStart w:id="532" w:name="_Toc127434602"/>
      <w:bookmarkStart w:id="533" w:name="_Toc127436969"/>
      <w:bookmarkStart w:id="534" w:name="_Toc127437331"/>
      <w:bookmarkStart w:id="535" w:name="_Toc127437684"/>
      <w:bookmarkStart w:id="536" w:name="_Toc135128841"/>
      <w:bookmarkStart w:id="537" w:name="_Toc135128874"/>
      <w:bookmarkStart w:id="538" w:name="_Toc135133714"/>
      <w:bookmarkStart w:id="539" w:name="_Toc135143051"/>
      <w:bookmarkStart w:id="540" w:name="_Toc136437136"/>
      <w:bookmarkStart w:id="541" w:name="_Toc136437169"/>
      <w:bookmarkStart w:id="542" w:name="_Toc136437196"/>
      <w:bookmarkStart w:id="543" w:name="_Toc136437224"/>
      <w:bookmarkStart w:id="544" w:name="_Toc136437471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0F095CD4" w14:textId="77777777" w:rsidR="005E3A61" w:rsidRPr="00954142" w:rsidRDefault="005E3A61" w:rsidP="005E3A61">
      <w:pPr>
        <w:pStyle w:val="Prrafodelista"/>
        <w:keepNext/>
        <w:keepLines/>
        <w:numPr>
          <w:ilvl w:val="0"/>
          <w:numId w:val="11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545" w:name="_Toc127437685"/>
      <w:bookmarkStart w:id="546" w:name="_Toc135128842"/>
      <w:bookmarkStart w:id="547" w:name="_Toc135128875"/>
      <w:bookmarkStart w:id="548" w:name="_Toc135133715"/>
      <w:bookmarkStart w:id="549" w:name="_Toc135143052"/>
      <w:bookmarkStart w:id="550" w:name="_Toc136437137"/>
      <w:bookmarkStart w:id="551" w:name="_Toc136437170"/>
      <w:bookmarkStart w:id="552" w:name="_Toc136437197"/>
      <w:bookmarkStart w:id="553" w:name="_Toc136437225"/>
      <w:bookmarkStart w:id="554" w:name="_Toc136437472"/>
      <w:bookmarkStart w:id="555" w:name="_Toc125970400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14:paraId="44FA4352" w14:textId="59146D9F" w:rsidR="008F703E" w:rsidRPr="00954142" w:rsidRDefault="00276910" w:rsidP="005E3A61">
      <w:pPr>
        <w:pStyle w:val="Ttulo2"/>
        <w:numPr>
          <w:ilvl w:val="1"/>
          <w:numId w:val="11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556" w:name="_Toc136437473"/>
      <w:bookmarkEnd w:id="555"/>
      <w:r>
        <w:rPr>
          <w:rFonts w:cs="Times New Roman"/>
          <w:sz w:val="22"/>
          <w:szCs w:val="22"/>
        </w:rPr>
        <w:t>Repunte en la ejecución de gasto</w:t>
      </w:r>
      <w:bookmarkEnd w:id="556"/>
    </w:p>
    <w:p w14:paraId="4FEAD6ED" w14:textId="7BECF5FE" w:rsidR="00745EE3" w:rsidRPr="00954142" w:rsidRDefault="00640A23" w:rsidP="00B67B8F"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94084" behindDoc="0" locked="0" layoutInCell="1" allowOverlap="1" wp14:anchorId="1F3CC1E1" wp14:editId="6F2CC72E">
            <wp:simplePos x="0" y="0"/>
            <wp:positionH relativeFrom="margin">
              <wp:posOffset>3018714</wp:posOffset>
            </wp:positionH>
            <wp:positionV relativeFrom="paragraph">
              <wp:posOffset>108651</wp:posOffset>
            </wp:positionV>
            <wp:extent cx="2924810" cy="741045"/>
            <wp:effectExtent l="57150" t="38100" r="123190" b="97155"/>
            <wp:wrapSquare wrapText="bothSides"/>
            <wp:docPr id="819797958" name="Diagrama 8197979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62" w:rsidRPr="00954142">
        <w:t xml:space="preserve">En lo referente al gasto público a nivel de gobierno general, </w:t>
      </w:r>
      <w:r w:rsidR="00647C1C" w:rsidRPr="00954142">
        <w:t>al finalizar el 2022</w:t>
      </w:r>
      <w:r w:rsidR="00276910">
        <w:t>,</w:t>
      </w:r>
      <w:r w:rsidR="00647C1C" w:rsidRPr="00954142">
        <w:t xml:space="preserve"> este se situó en </w:t>
      </w:r>
      <w:r w:rsidR="00FF44DB" w:rsidRPr="00954142">
        <w:t>Q111,18</w:t>
      </w:r>
      <w:r w:rsidR="008338B7">
        <w:t>7</w:t>
      </w:r>
      <w:r w:rsidR="00FF44DB" w:rsidRPr="00954142">
        <w:t>.</w:t>
      </w:r>
      <w:r w:rsidR="008338B7">
        <w:t>0</w:t>
      </w:r>
      <w:r w:rsidR="00FF44DB" w:rsidRPr="00954142">
        <w:t xml:space="preserve"> millones, con una tasa de crecimiento del 14.9%</w:t>
      </w:r>
      <w:r w:rsidR="0075095C" w:rsidRPr="00954142">
        <w:t xml:space="preserve"> (14,382.</w:t>
      </w:r>
      <w:r w:rsidR="009E3DA5">
        <w:t>6</w:t>
      </w:r>
      <w:r w:rsidR="0075095C" w:rsidRPr="00954142">
        <w:t>)</w:t>
      </w:r>
      <w:r w:rsidR="00276910">
        <w:t>.  Mostrando con ello</w:t>
      </w:r>
      <w:r w:rsidR="00FF44DB" w:rsidRPr="00954142">
        <w:t xml:space="preserve"> </w:t>
      </w:r>
      <w:r w:rsidR="00147BDC" w:rsidRPr="00954142">
        <w:t xml:space="preserve">un gasto mucho </w:t>
      </w:r>
      <w:r w:rsidR="0075095C" w:rsidRPr="00954142">
        <w:t>más</w:t>
      </w:r>
      <w:r w:rsidR="00147BDC" w:rsidRPr="00954142">
        <w:t xml:space="preserve"> dinámico respecto al 2021</w:t>
      </w:r>
      <w:r w:rsidR="00EB3FAF" w:rsidRPr="00954142">
        <w:t xml:space="preserve"> </w:t>
      </w:r>
      <w:r w:rsidR="00FB39F6" w:rsidRPr="00954142">
        <w:t>cuando</w:t>
      </w:r>
      <w:r w:rsidR="00C120B0" w:rsidRPr="00954142">
        <w:t xml:space="preserve"> se observ</w:t>
      </w:r>
      <w:r w:rsidR="00EB3FAF" w:rsidRPr="00954142">
        <w:t>ó</w:t>
      </w:r>
      <w:r w:rsidR="00C120B0" w:rsidRPr="00954142">
        <w:t xml:space="preserve"> un crecimiento del 0.4% </w:t>
      </w:r>
      <w:r w:rsidR="0075095C" w:rsidRPr="00954142">
        <w:t>(Q</w:t>
      </w:r>
      <w:r w:rsidR="00E0790C" w:rsidRPr="00954142">
        <w:t>394.1 millones)</w:t>
      </w:r>
      <w:r w:rsidR="00E744AB" w:rsidRPr="00954142">
        <w:t>.</w:t>
      </w:r>
      <w:r w:rsidR="00E0790C" w:rsidRPr="00954142">
        <w:t xml:space="preserve"> </w:t>
      </w:r>
    </w:p>
    <w:p w14:paraId="0A285330" w14:textId="65193CB1" w:rsidR="000A65D1" w:rsidRPr="00954142" w:rsidRDefault="00E0790C" w:rsidP="00B67B8F">
      <w:r w:rsidRPr="00954142">
        <w:t>En términos del PIB, el gasto</w:t>
      </w:r>
      <w:r w:rsidR="00972DBC" w:rsidRPr="00954142">
        <w:t xml:space="preserve"> 2022</w:t>
      </w:r>
      <w:r w:rsidRPr="00954142">
        <w:t xml:space="preserve"> se sitúa </w:t>
      </w:r>
      <w:r w:rsidR="00972DBC" w:rsidRPr="00954142">
        <w:t>en torno</w:t>
      </w:r>
      <w:r w:rsidRPr="00954142">
        <w:t xml:space="preserve"> al </w:t>
      </w:r>
      <w:r w:rsidR="003D6170" w:rsidRPr="00954142">
        <w:t>15.1% siendo un aumento de 0.6 puntos porcentuales respecto al 14.1% del PIB observado en 2021</w:t>
      </w:r>
      <w:r w:rsidR="00972DBC" w:rsidRPr="00954142">
        <w:t>.</w:t>
      </w:r>
      <w:r w:rsidR="00B53097" w:rsidRPr="00954142">
        <w:t xml:space="preserve"> </w:t>
      </w:r>
      <w:r w:rsidR="009E24F8" w:rsidRPr="00954142">
        <w:t>Cabe</w:t>
      </w:r>
      <w:r w:rsidR="00B53097" w:rsidRPr="00954142">
        <w:t xml:space="preserve"> mencionar que el gobierno central presupuestario </w:t>
      </w:r>
      <w:r w:rsidR="00B72C21" w:rsidRPr="00954142">
        <w:t xml:space="preserve">ejecuta el </w:t>
      </w:r>
      <w:r w:rsidR="0012614D" w:rsidRPr="00954142">
        <w:t>68.5% del gasto consolidado</w:t>
      </w:r>
      <w:r w:rsidR="00B83023" w:rsidRPr="00954142">
        <w:t xml:space="preserve"> (sin incluir operaciones recíprocas) </w:t>
      </w:r>
      <w:r w:rsidR="0012614D" w:rsidRPr="00954142">
        <w:t xml:space="preserve">del gobierno general </w:t>
      </w:r>
      <w:r w:rsidR="00242463" w:rsidRPr="00954142">
        <w:t>mientras que las entidades extrapresupuestarias el 13.4%, los</w:t>
      </w:r>
      <w:r w:rsidR="005C31A2" w:rsidRPr="00954142">
        <w:t xml:space="preserve"> fondos de seguridad social el 12.3% y los gobiernos locales el 5.8%</w:t>
      </w:r>
      <w:r w:rsidR="00265AFF" w:rsidRPr="00954142">
        <w:t>.</w:t>
      </w:r>
    </w:p>
    <w:p w14:paraId="56F5723F" w14:textId="5BA6DB91" w:rsidR="00CC5575" w:rsidRPr="00954142" w:rsidRDefault="00CC5575" w:rsidP="00B67B8F">
      <w:r w:rsidRPr="00954142">
        <w:rPr>
          <w:rFonts w:cs="Times New Roman"/>
          <w:noProof/>
          <w:lang w:eastAsia="es-GT"/>
        </w:rPr>
        <w:drawing>
          <wp:inline distT="0" distB="0" distL="0" distR="0" wp14:anchorId="2B423354" wp14:editId="5B5F61B3">
            <wp:extent cx="5868035" cy="2053988"/>
            <wp:effectExtent l="0" t="0" r="0" b="3810"/>
            <wp:docPr id="484609782" name="Gráfico 4846097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D390A8F" w14:textId="14157ABA" w:rsidR="00750647" w:rsidRPr="00954142" w:rsidRDefault="00BF20CD" w:rsidP="00750647">
      <w:pPr>
        <w:tabs>
          <w:tab w:val="left" w:pos="1803"/>
        </w:tabs>
      </w:pPr>
      <w:r w:rsidRPr="00954142">
        <w:rPr>
          <w:rFonts w:cs="Times New Roman"/>
          <w:noProof/>
          <w:szCs w:val="22"/>
          <w:lang w:eastAsia="es-GT"/>
        </w:rPr>
        <w:lastRenderedPageBreak/>
        <w:drawing>
          <wp:anchor distT="0" distB="0" distL="114300" distR="114300" simplePos="0" relativeHeight="251697156" behindDoc="0" locked="0" layoutInCell="1" allowOverlap="1" wp14:anchorId="7B243B22" wp14:editId="2072C5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56840" cy="5997575"/>
            <wp:effectExtent l="0" t="0" r="0" b="317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EE" w:rsidRPr="00954142">
        <w:rPr>
          <w:rFonts w:cs="Times New Roman"/>
          <w:szCs w:val="22"/>
        </w:rPr>
        <w:t xml:space="preserve">A </w:t>
      </w:r>
      <w:r w:rsidR="00750647" w:rsidRPr="00954142">
        <w:rPr>
          <w:rFonts w:cs="Times New Roman"/>
          <w:szCs w:val="22"/>
        </w:rPr>
        <w:t>nivel de cuentas económicas, la que</w:t>
      </w:r>
      <w:r w:rsidR="00750647" w:rsidRPr="00954142">
        <w:t xml:space="preserve"> tuvo un mayor crecimiento durante el año fue el gasto en bienes y servicios, los cuales se situaron en Q24,469.1 millones, </w:t>
      </w:r>
      <w:r w:rsidR="00E936F3">
        <w:t>mostrando</w:t>
      </w:r>
      <w:r w:rsidR="00E936F3" w:rsidRPr="00954142">
        <w:t xml:space="preserve"> </w:t>
      </w:r>
      <w:r w:rsidR="00750647" w:rsidRPr="00954142">
        <w:t xml:space="preserve">una variación interanual del 25.3% (Q4,948.1 millones). Este incremento se atribuye principalmente al gobierno central presupuestario y el gasto que realizó para el </w:t>
      </w:r>
      <w:r w:rsidR="005B0134" w:rsidRPr="00954142">
        <w:t>mantenimiento y reparación de bie</w:t>
      </w:r>
      <w:r w:rsidR="00670E46">
        <w:t>ne</w:t>
      </w:r>
      <w:r w:rsidR="005B0134" w:rsidRPr="00954142">
        <w:t>s nacionales de uso común</w:t>
      </w:r>
      <w:r w:rsidR="00750647" w:rsidRPr="00954142">
        <w:t xml:space="preserve"> que tuvo un incremento del 127.0% (Q2,523.95 millones). En términos del PIB, la cuenta de uso de bienes y servicios equivale al 3.3% </w:t>
      </w:r>
      <w:r w:rsidR="00E936F3">
        <w:t>indicando</w:t>
      </w:r>
      <w:r w:rsidR="00750647" w:rsidRPr="00954142">
        <w:t xml:space="preserve"> un aumento de 0.4 puntos porcentuales respecto al 2.9% observado en 2021.</w:t>
      </w:r>
    </w:p>
    <w:p w14:paraId="6056BE8E" w14:textId="1CB580D1" w:rsidR="00750647" w:rsidRPr="00954142" w:rsidRDefault="00750647" w:rsidP="00750647">
      <w:pPr>
        <w:rPr>
          <w:rFonts w:cs="Times New Roman"/>
          <w:szCs w:val="22"/>
        </w:rPr>
      </w:pPr>
      <w:r w:rsidRPr="00954142">
        <w:rPr>
          <w:rFonts w:cs="Times New Roman"/>
          <w:szCs w:val="22"/>
        </w:rPr>
        <w:t>El gasto en subsidios se situó en Q3,425.5 millones, mostrando un crecimiento interanual de 690.3% (Q2,992.0 millones) respecto a 2021. El incremento se produce principalmente por los subsidios que se aplicaron sobre el gas propano y las gasolinas desde el gobierno central presupuestario. En términos del PIB, esta cuenta equivale al 0.5% y es un aumento del 0.4 puntos porcentuales respecto al 0.1% del PIB en 2021.</w:t>
      </w:r>
    </w:p>
    <w:p w14:paraId="7AD926AC" w14:textId="4BC0DCBB" w:rsidR="00750647" w:rsidRPr="00954142" w:rsidRDefault="00750647" w:rsidP="00750647">
      <w:pPr>
        <w:rPr>
          <w:rFonts w:cs="Times New Roman"/>
          <w:szCs w:val="22"/>
        </w:rPr>
      </w:pPr>
      <w:r w:rsidRPr="00532732">
        <w:rPr>
          <w:rFonts w:cs="Times New Roman"/>
          <w:szCs w:val="22"/>
        </w:rPr>
        <w:t>Los otros gastos mostraron el tercer crecimiento más pronunciado del año, al ascender a Q8,081.3 millones, que representa un crecimiento interanual de</w:t>
      </w:r>
      <w:r w:rsidR="00B92D5E" w:rsidRPr="00532732">
        <w:rPr>
          <w:rFonts w:cs="Times New Roman"/>
          <w:szCs w:val="22"/>
        </w:rPr>
        <w:t>l</w:t>
      </w:r>
      <w:r w:rsidRPr="00532732">
        <w:rPr>
          <w:rFonts w:cs="Times New Roman"/>
          <w:szCs w:val="22"/>
        </w:rPr>
        <w:t xml:space="preserve"> 38.3% (Q2,236.2 millones)</w:t>
      </w:r>
      <w:r w:rsidR="0056677F" w:rsidRPr="00532732">
        <w:rPr>
          <w:rFonts w:cs="Times New Roman"/>
          <w:szCs w:val="22"/>
        </w:rPr>
        <w:t>. Es</w:t>
      </w:r>
      <w:r w:rsidR="004733C6" w:rsidRPr="00532732">
        <w:rPr>
          <w:rFonts w:cs="Times New Roman"/>
          <w:szCs w:val="22"/>
        </w:rPr>
        <w:t>ta cuenta económica se ve</w:t>
      </w:r>
      <w:r w:rsidRPr="00532732">
        <w:rPr>
          <w:rFonts w:cs="Times New Roman"/>
          <w:szCs w:val="22"/>
        </w:rPr>
        <w:t xml:space="preserve"> influenciad</w:t>
      </w:r>
      <w:r w:rsidR="004733C6" w:rsidRPr="00532732">
        <w:rPr>
          <w:rFonts w:cs="Times New Roman"/>
          <w:szCs w:val="22"/>
        </w:rPr>
        <w:t>a</w:t>
      </w:r>
      <w:r w:rsidRPr="00532732">
        <w:rPr>
          <w:rFonts w:cs="Times New Roman"/>
          <w:szCs w:val="22"/>
        </w:rPr>
        <w:t xml:space="preserve"> principalmente por</w:t>
      </w:r>
      <w:r w:rsidR="00B92D5E" w:rsidRPr="00532732">
        <w:rPr>
          <w:rFonts w:cs="Times New Roman"/>
          <w:szCs w:val="22"/>
        </w:rPr>
        <w:t xml:space="preserve"> las</w:t>
      </w:r>
      <w:r w:rsidRPr="00532732">
        <w:rPr>
          <w:rFonts w:cs="Times New Roman"/>
          <w:szCs w:val="22"/>
        </w:rPr>
        <w:t xml:space="preserve"> transferencias a</w:t>
      </w:r>
      <w:r w:rsidR="00DF1227" w:rsidRPr="00532732">
        <w:rPr>
          <w:rFonts w:cs="Times New Roman"/>
          <w:szCs w:val="22"/>
        </w:rPr>
        <w:t xml:space="preserve"> otras</w:t>
      </w:r>
      <w:r w:rsidRPr="00532732">
        <w:rPr>
          <w:rFonts w:cs="Times New Roman"/>
          <w:szCs w:val="22"/>
        </w:rPr>
        <w:t xml:space="preserve"> instituciones sin fines de lucro</w:t>
      </w:r>
      <w:r w:rsidR="00444C91" w:rsidRPr="00532732">
        <w:rPr>
          <w:rFonts w:cs="Times New Roman"/>
          <w:szCs w:val="22"/>
        </w:rPr>
        <w:t xml:space="preserve"> </w:t>
      </w:r>
      <w:r w:rsidR="00266CA5" w:rsidRPr="00532732">
        <w:rPr>
          <w:rFonts w:cs="Times New Roman"/>
          <w:szCs w:val="22"/>
        </w:rPr>
        <w:t xml:space="preserve">que se </w:t>
      </w:r>
      <w:r w:rsidR="00444C91" w:rsidRPr="00532732">
        <w:rPr>
          <w:rFonts w:cs="Times New Roman"/>
          <w:szCs w:val="22"/>
        </w:rPr>
        <w:t xml:space="preserve">asocia </w:t>
      </w:r>
      <w:r w:rsidR="00266CA5" w:rsidRPr="00532732">
        <w:rPr>
          <w:rFonts w:cs="Times New Roman"/>
          <w:szCs w:val="22"/>
        </w:rPr>
        <w:t>la alimentación escolar</w:t>
      </w:r>
      <w:r w:rsidRPr="00532732">
        <w:rPr>
          <w:rFonts w:cs="Times New Roman"/>
          <w:szCs w:val="22"/>
        </w:rPr>
        <w:t xml:space="preserve"> y </w:t>
      </w:r>
      <w:r w:rsidR="00AD592A" w:rsidRPr="00532732">
        <w:rPr>
          <w:rFonts w:cs="Times New Roman"/>
          <w:szCs w:val="22"/>
        </w:rPr>
        <w:t xml:space="preserve">el pago en </w:t>
      </w:r>
      <w:r w:rsidRPr="00532732">
        <w:rPr>
          <w:rFonts w:cs="Times New Roman"/>
          <w:szCs w:val="22"/>
        </w:rPr>
        <w:t>sentencias judiciales</w:t>
      </w:r>
      <w:r w:rsidR="00266CA5" w:rsidRPr="00532732">
        <w:rPr>
          <w:rFonts w:cs="Times New Roman"/>
          <w:szCs w:val="22"/>
        </w:rPr>
        <w:t xml:space="preserve"> </w:t>
      </w:r>
      <w:r w:rsidR="00257FBE" w:rsidRPr="00532732">
        <w:rPr>
          <w:rFonts w:cs="Times New Roman"/>
          <w:szCs w:val="22"/>
        </w:rPr>
        <w:t xml:space="preserve">que se ve </w:t>
      </w:r>
      <w:r w:rsidR="00EA08D0" w:rsidRPr="00532732">
        <w:rPr>
          <w:rFonts w:cs="Times New Roman"/>
          <w:szCs w:val="22"/>
        </w:rPr>
        <w:t>afectado</w:t>
      </w:r>
      <w:r w:rsidR="00F96D87" w:rsidRPr="00532732">
        <w:rPr>
          <w:rFonts w:cs="Times New Roman"/>
          <w:szCs w:val="22"/>
        </w:rPr>
        <w:t xml:space="preserve"> </w:t>
      </w:r>
      <w:r w:rsidR="00AD592A" w:rsidRPr="00532732">
        <w:rPr>
          <w:rFonts w:cs="Times New Roman"/>
          <w:szCs w:val="22"/>
        </w:rPr>
        <w:t xml:space="preserve">en este año por </w:t>
      </w:r>
      <w:r w:rsidR="007760D1" w:rsidRPr="00532732">
        <w:rPr>
          <w:rFonts w:cs="Times New Roman"/>
          <w:szCs w:val="22"/>
        </w:rPr>
        <w:t>el caso</w:t>
      </w:r>
      <w:r w:rsidR="00F96D87" w:rsidRPr="00532732">
        <w:rPr>
          <w:rFonts w:cs="Times New Roman"/>
          <w:szCs w:val="22"/>
        </w:rPr>
        <w:t xml:space="preserve"> Teco</w:t>
      </w:r>
      <w:r w:rsidR="00AD592A" w:rsidRPr="00532732">
        <w:rPr>
          <w:rFonts w:cs="Times New Roman"/>
          <w:szCs w:val="22"/>
        </w:rPr>
        <w:t>, estos renglones</w:t>
      </w:r>
      <w:r w:rsidR="00842BA0" w:rsidRPr="00532732">
        <w:rPr>
          <w:rFonts w:cs="Times New Roman"/>
          <w:szCs w:val="22"/>
        </w:rPr>
        <w:t xml:space="preserve"> aumentaron en </w:t>
      </w:r>
      <w:r w:rsidR="00E6120F" w:rsidRPr="00532732">
        <w:rPr>
          <w:rFonts w:cs="Times New Roman"/>
          <w:szCs w:val="22"/>
        </w:rPr>
        <w:t>33.5% (</w:t>
      </w:r>
      <w:r w:rsidR="00842BA0" w:rsidRPr="00532732">
        <w:rPr>
          <w:rFonts w:cs="Times New Roman"/>
          <w:szCs w:val="22"/>
        </w:rPr>
        <w:t>Q1,179 millones</w:t>
      </w:r>
      <w:r w:rsidR="00E6120F" w:rsidRPr="00532732">
        <w:rPr>
          <w:rFonts w:cs="Times New Roman"/>
          <w:szCs w:val="22"/>
        </w:rPr>
        <w:t>)</w:t>
      </w:r>
      <w:r w:rsidR="00842BA0" w:rsidRPr="00532732">
        <w:rPr>
          <w:rFonts w:cs="Times New Roman"/>
          <w:szCs w:val="22"/>
        </w:rPr>
        <w:t xml:space="preserve"> y</w:t>
      </w:r>
      <w:r w:rsidR="00E059CF" w:rsidRPr="00532732">
        <w:rPr>
          <w:rFonts w:cs="Times New Roman"/>
          <w:szCs w:val="22"/>
        </w:rPr>
        <w:t xml:space="preserve"> 61.8%</w:t>
      </w:r>
      <w:r w:rsidR="00842BA0" w:rsidRPr="00532732">
        <w:rPr>
          <w:rFonts w:cs="Times New Roman"/>
          <w:szCs w:val="22"/>
        </w:rPr>
        <w:t xml:space="preserve"> </w:t>
      </w:r>
      <w:r w:rsidR="00E059CF" w:rsidRPr="00532732">
        <w:rPr>
          <w:rFonts w:cs="Times New Roman"/>
          <w:szCs w:val="22"/>
        </w:rPr>
        <w:t>(</w:t>
      </w:r>
      <w:r w:rsidR="003629F3" w:rsidRPr="00532732">
        <w:rPr>
          <w:rFonts w:cs="Times New Roman"/>
          <w:szCs w:val="22"/>
        </w:rPr>
        <w:t>Q468.7 millones</w:t>
      </w:r>
      <w:r w:rsidR="00E059CF" w:rsidRPr="00532732">
        <w:rPr>
          <w:rFonts w:cs="Times New Roman"/>
          <w:szCs w:val="22"/>
        </w:rPr>
        <w:t>)</w:t>
      </w:r>
      <w:r w:rsidR="003629F3" w:rsidRPr="00532732">
        <w:rPr>
          <w:rFonts w:cs="Times New Roman"/>
          <w:szCs w:val="22"/>
        </w:rPr>
        <w:t xml:space="preserve"> respectivamente</w:t>
      </w:r>
      <w:r w:rsidRPr="00532732">
        <w:rPr>
          <w:rFonts w:cs="Times New Roman"/>
          <w:szCs w:val="22"/>
        </w:rPr>
        <w:t xml:space="preserve">. </w:t>
      </w:r>
      <w:r w:rsidR="00B92D5E" w:rsidRPr="00532732">
        <w:rPr>
          <w:rFonts w:cs="Times New Roman"/>
          <w:szCs w:val="22"/>
        </w:rPr>
        <w:t>En relación con el</w:t>
      </w:r>
      <w:r w:rsidRPr="00532732">
        <w:rPr>
          <w:rFonts w:cs="Times New Roman"/>
          <w:szCs w:val="22"/>
        </w:rPr>
        <w:t xml:space="preserve"> PIB</w:t>
      </w:r>
      <w:r w:rsidR="00D27CA7" w:rsidRPr="00532732">
        <w:rPr>
          <w:rFonts w:cs="Times New Roman"/>
          <w:szCs w:val="22"/>
        </w:rPr>
        <w:t>,</w:t>
      </w:r>
      <w:r w:rsidRPr="00532732">
        <w:rPr>
          <w:rFonts w:cs="Times New Roman"/>
          <w:szCs w:val="22"/>
        </w:rPr>
        <w:t xml:space="preserve"> los otros gastos equivalen al 1.1%, lo cual representa un incremento de 0.2 puntos porcentuales respecto al 0.9% </w:t>
      </w:r>
      <w:r w:rsidR="008A0753" w:rsidRPr="00532732">
        <w:rPr>
          <w:rFonts w:cs="Times New Roman"/>
          <w:szCs w:val="22"/>
        </w:rPr>
        <w:t>observado</w:t>
      </w:r>
      <w:r w:rsidRPr="00532732">
        <w:rPr>
          <w:rFonts w:cs="Times New Roman"/>
          <w:szCs w:val="22"/>
        </w:rPr>
        <w:t xml:space="preserve"> en el año previo.</w:t>
      </w:r>
      <w:r w:rsidRPr="00954142">
        <w:rPr>
          <w:rFonts w:cs="Times New Roman"/>
          <w:szCs w:val="22"/>
        </w:rPr>
        <w:t xml:space="preserve"> </w:t>
      </w:r>
    </w:p>
    <w:p w14:paraId="77AD938F" w14:textId="33C97A9D" w:rsidR="00750647" w:rsidRPr="00954142" w:rsidRDefault="00750647" w:rsidP="00750647">
      <w:pPr>
        <w:rPr>
          <w:rFonts w:cs="Times New Roman"/>
          <w:szCs w:val="22"/>
        </w:rPr>
      </w:pPr>
      <w:r w:rsidRPr="00954142">
        <w:rPr>
          <w:rFonts w:cs="Times New Roman"/>
          <w:szCs w:val="22"/>
        </w:rPr>
        <w:t>Por su parte, las remuneraciones a los empleados ascendieron a Q50,7</w:t>
      </w:r>
      <w:r w:rsidR="003C3A92">
        <w:rPr>
          <w:rFonts w:cs="Times New Roman"/>
          <w:szCs w:val="22"/>
        </w:rPr>
        <w:t>6</w:t>
      </w:r>
      <w:r w:rsidRPr="00954142">
        <w:rPr>
          <w:rFonts w:cs="Times New Roman"/>
          <w:szCs w:val="22"/>
        </w:rPr>
        <w:t>7.</w:t>
      </w:r>
      <w:r w:rsidR="00B80772">
        <w:rPr>
          <w:rFonts w:cs="Times New Roman"/>
          <w:szCs w:val="22"/>
        </w:rPr>
        <w:t>6</w:t>
      </w:r>
      <w:r w:rsidRPr="00954142">
        <w:rPr>
          <w:rFonts w:cs="Times New Roman"/>
          <w:szCs w:val="22"/>
        </w:rPr>
        <w:t xml:space="preserve"> millones</w:t>
      </w:r>
      <w:r w:rsidR="00FF3D2E">
        <w:rPr>
          <w:rFonts w:cs="Times New Roman"/>
          <w:szCs w:val="22"/>
        </w:rPr>
        <w:t xml:space="preserve"> en 2022</w:t>
      </w:r>
      <w:r w:rsidRPr="00954142">
        <w:rPr>
          <w:rFonts w:cs="Times New Roman"/>
          <w:szCs w:val="22"/>
        </w:rPr>
        <w:t>, mostra</w:t>
      </w:r>
      <w:r w:rsidR="00FB282A">
        <w:rPr>
          <w:rFonts w:cs="Times New Roman"/>
          <w:szCs w:val="22"/>
        </w:rPr>
        <w:t>ndo</w:t>
      </w:r>
      <w:r w:rsidRPr="00954142">
        <w:rPr>
          <w:rFonts w:cs="Times New Roman"/>
          <w:szCs w:val="22"/>
        </w:rPr>
        <w:t xml:space="preserve"> una tasa de crecimiento interanual de</w:t>
      </w:r>
      <w:r w:rsidR="00FB282A">
        <w:rPr>
          <w:rFonts w:cs="Times New Roman"/>
          <w:szCs w:val="22"/>
        </w:rPr>
        <w:t>l</w:t>
      </w:r>
      <w:r w:rsidRPr="00954142">
        <w:rPr>
          <w:rFonts w:cs="Times New Roman"/>
          <w:szCs w:val="22"/>
        </w:rPr>
        <w:t xml:space="preserve"> 4.4% (Q2,12</w:t>
      </w:r>
      <w:r w:rsidR="00A84A27">
        <w:rPr>
          <w:rFonts w:cs="Times New Roman"/>
          <w:szCs w:val="22"/>
        </w:rPr>
        <w:t>2</w:t>
      </w:r>
      <w:r w:rsidRPr="00954142">
        <w:rPr>
          <w:rFonts w:cs="Times New Roman"/>
          <w:szCs w:val="22"/>
        </w:rPr>
        <w:t xml:space="preserve">.4 millones). En esta cuenta </w:t>
      </w:r>
      <w:r w:rsidR="00FB282A">
        <w:rPr>
          <w:rFonts w:cs="Times New Roman"/>
          <w:szCs w:val="22"/>
        </w:rPr>
        <w:t>la mayor ejecución se produce por</w:t>
      </w:r>
      <w:r w:rsidRPr="00954142">
        <w:rPr>
          <w:rFonts w:cs="Times New Roman"/>
          <w:szCs w:val="22"/>
        </w:rPr>
        <w:t xml:space="preserve"> el gobierno central presupuestario </w:t>
      </w:r>
      <w:r w:rsidR="00B33873">
        <w:rPr>
          <w:rFonts w:cs="Times New Roman"/>
          <w:szCs w:val="22"/>
        </w:rPr>
        <w:t xml:space="preserve">con un </w:t>
      </w:r>
      <w:r w:rsidRPr="00954142">
        <w:rPr>
          <w:rFonts w:cs="Times New Roman"/>
          <w:szCs w:val="22"/>
        </w:rPr>
        <w:t>63.6%</w:t>
      </w:r>
      <w:r w:rsidR="009240C5">
        <w:rPr>
          <w:rFonts w:cs="Times New Roman"/>
          <w:szCs w:val="22"/>
        </w:rPr>
        <w:t>,</w:t>
      </w:r>
      <w:r w:rsidRPr="00954142">
        <w:rPr>
          <w:rFonts w:cs="Times New Roman"/>
          <w:szCs w:val="22"/>
        </w:rPr>
        <w:t xml:space="preserve"> el gobierno central extrapresupuestario 23.7%</w:t>
      </w:r>
      <w:r w:rsidR="009240C5">
        <w:rPr>
          <w:rFonts w:cs="Times New Roman"/>
          <w:szCs w:val="22"/>
        </w:rPr>
        <w:t xml:space="preserve">, los gobiernos locales el </w:t>
      </w:r>
      <w:r w:rsidR="00A06FFF">
        <w:rPr>
          <w:rFonts w:cs="Times New Roman"/>
          <w:szCs w:val="22"/>
        </w:rPr>
        <w:t>6.</w:t>
      </w:r>
      <w:r w:rsidR="00B307FC">
        <w:rPr>
          <w:rFonts w:cs="Times New Roman"/>
          <w:szCs w:val="22"/>
        </w:rPr>
        <w:t>6</w:t>
      </w:r>
      <w:r w:rsidR="009240C5">
        <w:rPr>
          <w:rFonts w:cs="Times New Roman"/>
          <w:szCs w:val="22"/>
        </w:rPr>
        <w:t>%</w:t>
      </w:r>
      <w:r w:rsidR="005102B8">
        <w:rPr>
          <w:rFonts w:cs="Times New Roman"/>
          <w:szCs w:val="22"/>
        </w:rPr>
        <w:t xml:space="preserve"> y los fondos de seguridad social el 6</w:t>
      </w:r>
      <w:r w:rsidR="00A06FFF">
        <w:rPr>
          <w:rFonts w:cs="Times New Roman"/>
          <w:szCs w:val="22"/>
        </w:rPr>
        <w:t>.</w:t>
      </w:r>
      <w:r w:rsidR="0093414B">
        <w:rPr>
          <w:rFonts w:cs="Times New Roman"/>
          <w:szCs w:val="22"/>
        </w:rPr>
        <w:t>1</w:t>
      </w:r>
      <w:r w:rsidR="005102B8">
        <w:rPr>
          <w:rFonts w:cs="Times New Roman"/>
          <w:szCs w:val="22"/>
        </w:rPr>
        <w:t>% restante</w:t>
      </w:r>
      <w:r w:rsidRPr="00954142">
        <w:rPr>
          <w:rFonts w:cs="Times New Roman"/>
          <w:szCs w:val="22"/>
        </w:rPr>
        <w:t xml:space="preserve">. </w:t>
      </w:r>
      <w:r w:rsidR="00D27CA7">
        <w:rPr>
          <w:rFonts w:cs="Times New Roman"/>
          <w:szCs w:val="22"/>
        </w:rPr>
        <w:t>En términos del</w:t>
      </w:r>
      <w:r w:rsidRPr="00954142">
        <w:rPr>
          <w:rFonts w:cs="Times New Roman"/>
          <w:szCs w:val="22"/>
        </w:rPr>
        <w:t xml:space="preserve"> PIB, esta cuenta disminuyó su participación en 0.4 puntos porcentuales, </w:t>
      </w:r>
      <w:r w:rsidR="00D27CA7">
        <w:rPr>
          <w:rFonts w:cs="Times New Roman"/>
          <w:szCs w:val="22"/>
        </w:rPr>
        <w:t xml:space="preserve">situándose en </w:t>
      </w:r>
      <w:r w:rsidRPr="00954142">
        <w:rPr>
          <w:rFonts w:cs="Times New Roman"/>
          <w:szCs w:val="22"/>
        </w:rPr>
        <w:t>6.9%</w:t>
      </w:r>
      <w:r w:rsidR="00D27CA7">
        <w:rPr>
          <w:rFonts w:cs="Times New Roman"/>
          <w:szCs w:val="22"/>
        </w:rPr>
        <w:t xml:space="preserve"> del PIB en 2022 </w:t>
      </w:r>
      <w:r w:rsidRPr="00954142">
        <w:rPr>
          <w:rFonts w:cs="Times New Roman"/>
          <w:szCs w:val="22"/>
        </w:rPr>
        <w:t xml:space="preserve">en comparación al 7.3% del </w:t>
      </w:r>
      <w:r w:rsidR="00D27CA7">
        <w:rPr>
          <w:rFonts w:cs="Times New Roman"/>
          <w:szCs w:val="22"/>
        </w:rPr>
        <w:t xml:space="preserve">año </w:t>
      </w:r>
      <w:r w:rsidRPr="00954142">
        <w:rPr>
          <w:rFonts w:cs="Times New Roman"/>
          <w:szCs w:val="22"/>
        </w:rPr>
        <w:t>anterior.</w:t>
      </w:r>
    </w:p>
    <w:p w14:paraId="5902D78C" w14:textId="1ABCAFC4" w:rsidR="00750647" w:rsidRPr="00954142" w:rsidRDefault="00750647" w:rsidP="00750647">
      <w:pPr>
        <w:rPr>
          <w:rFonts w:cs="Times New Roman"/>
          <w:szCs w:val="22"/>
          <w:lang w:val="es-MX"/>
        </w:rPr>
      </w:pPr>
      <w:r w:rsidRPr="00954142">
        <w:rPr>
          <w:rFonts w:cs="Times New Roman"/>
          <w:szCs w:val="22"/>
        </w:rPr>
        <w:t xml:space="preserve">En cuanto a las prestaciones sociales, </w:t>
      </w:r>
      <w:r w:rsidR="002C6301">
        <w:rPr>
          <w:rFonts w:cs="Times New Roman"/>
          <w:szCs w:val="22"/>
        </w:rPr>
        <w:t xml:space="preserve">este gasto asciende a </w:t>
      </w:r>
      <w:r w:rsidRPr="00954142">
        <w:rPr>
          <w:rFonts w:cs="Times New Roman"/>
          <w:szCs w:val="22"/>
        </w:rPr>
        <w:t xml:space="preserve">Q12,921.5 millones </w:t>
      </w:r>
      <w:r w:rsidR="002C6301">
        <w:rPr>
          <w:rFonts w:cs="Times New Roman"/>
          <w:szCs w:val="22"/>
        </w:rPr>
        <w:t xml:space="preserve">y </w:t>
      </w:r>
      <w:r w:rsidRPr="00954142">
        <w:rPr>
          <w:rFonts w:cs="Times New Roman"/>
          <w:szCs w:val="22"/>
        </w:rPr>
        <w:t>refleja una tasa de variación interanual de</w:t>
      </w:r>
      <w:r w:rsidR="002C6301">
        <w:rPr>
          <w:rFonts w:cs="Times New Roman"/>
          <w:szCs w:val="22"/>
        </w:rPr>
        <w:t>l</w:t>
      </w:r>
      <w:r w:rsidRPr="00954142">
        <w:rPr>
          <w:rFonts w:cs="Times New Roman"/>
          <w:szCs w:val="22"/>
        </w:rPr>
        <w:t xml:space="preserve"> 9.4% (Q1,109.5 millones) respecto de 2021. </w:t>
      </w:r>
      <w:r w:rsidR="00381D89">
        <w:rPr>
          <w:rFonts w:cs="Times New Roman"/>
          <w:szCs w:val="22"/>
        </w:rPr>
        <w:t>L</w:t>
      </w:r>
      <w:r w:rsidRPr="00954142">
        <w:rPr>
          <w:rFonts w:cs="Times New Roman"/>
          <w:szCs w:val="22"/>
        </w:rPr>
        <w:t xml:space="preserve">a mayor participación está dada en el gobierno central presupuestario </w:t>
      </w:r>
      <w:r w:rsidR="00652018">
        <w:rPr>
          <w:rFonts w:cs="Times New Roman"/>
          <w:szCs w:val="22"/>
        </w:rPr>
        <w:t xml:space="preserve">con un </w:t>
      </w:r>
      <w:r w:rsidRPr="00954142">
        <w:rPr>
          <w:rFonts w:cs="Times New Roman"/>
          <w:szCs w:val="22"/>
          <w:lang w:val="es-MX"/>
        </w:rPr>
        <w:t xml:space="preserve">49.8% </w:t>
      </w:r>
      <w:r w:rsidR="00652018">
        <w:rPr>
          <w:rFonts w:cs="Times New Roman"/>
          <w:szCs w:val="22"/>
          <w:lang w:val="es-MX"/>
        </w:rPr>
        <w:t>seguido de</w:t>
      </w:r>
      <w:r w:rsidRPr="00954142">
        <w:rPr>
          <w:rFonts w:cs="Times New Roman"/>
          <w:szCs w:val="22"/>
          <w:lang w:val="es-MX"/>
        </w:rPr>
        <w:t xml:space="preserve"> los fondos de seguridad social </w:t>
      </w:r>
      <w:r w:rsidR="00652018">
        <w:rPr>
          <w:rFonts w:cs="Times New Roman"/>
          <w:szCs w:val="22"/>
          <w:lang w:val="es-MX"/>
        </w:rPr>
        <w:t xml:space="preserve">con el </w:t>
      </w:r>
      <w:r w:rsidRPr="00954142">
        <w:rPr>
          <w:rFonts w:cs="Times New Roman"/>
          <w:szCs w:val="22"/>
          <w:lang w:val="es-MX"/>
        </w:rPr>
        <w:t xml:space="preserve">45.1%. En </w:t>
      </w:r>
      <w:r w:rsidR="00BD0408" w:rsidRPr="00954142">
        <w:rPr>
          <w:rFonts w:cs="Times New Roman"/>
          <w:szCs w:val="22"/>
          <w:lang w:val="es-MX"/>
        </w:rPr>
        <w:t>términos</w:t>
      </w:r>
      <w:r w:rsidRPr="00954142">
        <w:rPr>
          <w:rFonts w:cs="Times New Roman"/>
          <w:szCs w:val="22"/>
          <w:lang w:val="es-MX"/>
        </w:rPr>
        <w:t xml:space="preserve"> </w:t>
      </w:r>
      <w:r w:rsidR="00BD0408" w:rsidRPr="00954142">
        <w:rPr>
          <w:rFonts w:cs="Times New Roman"/>
          <w:szCs w:val="22"/>
          <w:lang w:val="es-MX"/>
        </w:rPr>
        <w:t>del</w:t>
      </w:r>
      <w:r w:rsidRPr="00954142">
        <w:rPr>
          <w:rFonts w:cs="Times New Roman"/>
          <w:szCs w:val="22"/>
          <w:lang w:val="es-MX"/>
        </w:rPr>
        <w:t xml:space="preserve"> PIB, esta cuenta equivale a 1.8%</w:t>
      </w:r>
      <w:r w:rsidR="00472898">
        <w:rPr>
          <w:rFonts w:cs="Times New Roman"/>
          <w:szCs w:val="22"/>
          <w:lang w:val="es-MX"/>
        </w:rPr>
        <w:t xml:space="preserve"> y</w:t>
      </w:r>
      <w:r w:rsidRPr="00954142">
        <w:rPr>
          <w:rFonts w:cs="Times New Roman"/>
          <w:szCs w:val="22"/>
          <w:lang w:val="es-MX"/>
        </w:rPr>
        <w:t xml:space="preserve"> no refleja variación </w:t>
      </w:r>
      <w:r w:rsidR="00472898">
        <w:rPr>
          <w:rFonts w:cs="Times New Roman"/>
          <w:szCs w:val="22"/>
          <w:lang w:val="es-MX"/>
        </w:rPr>
        <w:t xml:space="preserve">a lo </w:t>
      </w:r>
      <w:r w:rsidRPr="00954142">
        <w:rPr>
          <w:rFonts w:cs="Times New Roman"/>
          <w:szCs w:val="22"/>
          <w:lang w:val="es-MX"/>
        </w:rPr>
        <w:t>registrado en el año 2021.</w:t>
      </w:r>
    </w:p>
    <w:p w14:paraId="04BDFB26" w14:textId="039DA80F" w:rsidR="005B4F4B" w:rsidRPr="00954142" w:rsidRDefault="00750647" w:rsidP="005856D7">
      <w:pPr>
        <w:rPr>
          <w:rFonts w:cs="Times New Roman"/>
          <w:szCs w:val="22"/>
        </w:rPr>
      </w:pPr>
      <w:r w:rsidRPr="00954142">
        <w:rPr>
          <w:rFonts w:cs="Times New Roman"/>
          <w:szCs w:val="22"/>
          <w:lang w:val="es-MX"/>
        </w:rPr>
        <w:t>Por último, las cuentas con menor crecimiento en el periodo</w:t>
      </w:r>
      <w:r w:rsidR="00377F83">
        <w:rPr>
          <w:rFonts w:cs="Times New Roman"/>
          <w:szCs w:val="22"/>
          <w:lang w:val="es-MX"/>
        </w:rPr>
        <w:t xml:space="preserve"> </w:t>
      </w:r>
      <w:r w:rsidRPr="00954142">
        <w:rPr>
          <w:rFonts w:cs="Times New Roman"/>
          <w:szCs w:val="22"/>
          <w:lang w:val="es-MX"/>
        </w:rPr>
        <w:t xml:space="preserve">fueron los intereses, </w:t>
      </w:r>
      <w:r w:rsidR="00D15AA7">
        <w:rPr>
          <w:rFonts w:cs="Times New Roman"/>
          <w:szCs w:val="22"/>
          <w:lang w:val="es-MX"/>
        </w:rPr>
        <w:t>registrando</w:t>
      </w:r>
      <w:r w:rsidRPr="00954142">
        <w:rPr>
          <w:rFonts w:cs="Times New Roman"/>
          <w:szCs w:val="22"/>
          <w:lang w:val="es-MX"/>
        </w:rPr>
        <w:t xml:space="preserve"> </w:t>
      </w:r>
      <w:r w:rsidR="00D15AA7">
        <w:rPr>
          <w:rFonts w:cs="Times New Roman"/>
          <w:szCs w:val="22"/>
          <w:lang w:val="es-MX"/>
        </w:rPr>
        <w:t xml:space="preserve">un </w:t>
      </w:r>
      <w:r w:rsidRPr="00954142">
        <w:rPr>
          <w:rFonts w:cs="Times New Roman"/>
          <w:szCs w:val="22"/>
          <w:lang w:val="es-MX"/>
        </w:rPr>
        <w:t xml:space="preserve">monto </w:t>
      </w:r>
      <w:r w:rsidR="00377F83">
        <w:rPr>
          <w:rFonts w:cs="Times New Roman"/>
          <w:szCs w:val="22"/>
          <w:lang w:val="es-MX"/>
        </w:rPr>
        <w:t xml:space="preserve">acumulado </w:t>
      </w:r>
      <w:r w:rsidRPr="00954142">
        <w:rPr>
          <w:rFonts w:cs="Times New Roman"/>
          <w:szCs w:val="22"/>
          <w:lang w:val="es-MX"/>
        </w:rPr>
        <w:t>de Q11,006.1 millones</w:t>
      </w:r>
      <w:r w:rsidR="00377F83">
        <w:rPr>
          <w:rFonts w:cs="Times New Roman"/>
          <w:szCs w:val="22"/>
          <w:lang w:val="es-MX"/>
        </w:rPr>
        <w:t xml:space="preserve"> y</w:t>
      </w:r>
      <w:r w:rsidRPr="00954142">
        <w:rPr>
          <w:rFonts w:cs="Times New Roman"/>
          <w:szCs w:val="22"/>
          <w:lang w:val="es-MX"/>
        </w:rPr>
        <w:t xml:space="preserve"> un crecimiento interanual de 6.8% (Q703.1 millones)</w:t>
      </w:r>
      <w:r w:rsidR="00D15AA7">
        <w:rPr>
          <w:rFonts w:cs="Times New Roman"/>
          <w:szCs w:val="22"/>
          <w:lang w:val="es-MX"/>
        </w:rPr>
        <w:t xml:space="preserve"> que es</w:t>
      </w:r>
      <w:r w:rsidRPr="00954142">
        <w:rPr>
          <w:rFonts w:cs="Times New Roman"/>
          <w:szCs w:val="22"/>
          <w:lang w:val="es-MX"/>
        </w:rPr>
        <w:t xml:space="preserve"> explicado por el crecimiento que mostró el gobierno central presupuestario de 6.9% (Q707.5 millones), las donaciones que </w:t>
      </w:r>
      <w:r w:rsidR="000B11B8">
        <w:rPr>
          <w:rFonts w:cs="Times New Roman"/>
          <w:szCs w:val="22"/>
          <w:lang w:val="es-MX"/>
        </w:rPr>
        <w:t>se situaron</w:t>
      </w:r>
      <w:r w:rsidRPr="00954142">
        <w:rPr>
          <w:rFonts w:cs="Times New Roman"/>
          <w:szCs w:val="22"/>
          <w:lang w:val="es-MX"/>
        </w:rPr>
        <w:t xml:space="preserve"> </w:t>
      </w:r>
      <w:r w:rsidR="000B11B8">
        <w:rPr>
          <w:rFonts w:cs="Times New Roman"/>
          <w:szCs w:val="22"/>
          <w:lang w:val="es-MX"/>
        </w:rPr>
        <w:t>en</w:t>
      </w:r>
      <w:r w:rsidRPr="00954142">
        <w:rPr>
          <w:rFonts w:cs="Times New Roman"/>
          <w:szCs w:val="22"/>
          <w:lang w:val="es-MX"/>
        </w:rPr>
        <w:t xml:space="preserve"> Q516.0 millones</w:t>
      </w:r>
      <w:r w:rsidR="00F668D7">
        <w:rPr>
          <w:rFonts w:cs="Times New Roman"/>
          <w:szCs w:val="22"/>
          <w:lang w:val="es-MX"/>
        </w:rPr>
        <w:t xml:space="preserve"> con</w:t>
      </w:r>
      <w:r w:rsidRPr="00954142">
        <w:rPr>
          <w:rFonts w:cs="Times New Roman"/>
          <w:szCs w:val="22"/>
          <w:lang w:val="es-MX"/>
        </w:rPr>
        <w:t xml:space="preserve"> un incremento de</w:t>
      </w:r>
      <w:r w:rsidR="00F668D7">
        <w:rPr>
          <w:rFonts w:cs="Times New Roman"/>
          <w:szCs w:val="22"/>
          <w:lang w:val="es-MX"/>
        </w:rPr>
        <w:t>l</w:t>
      </w:r>
      <w:r w:rsidRPr="00954142">
        <w:rPr>
          <w:rFonts w:cs="Times New Roman"/>
          <w:szCs w:val="22"/>
          <w:lang w:val="es-MX"/>
        </w:rPr>
        <w:t xml:space="preserve"> 110.9% (Q271.3 millones)</w:t>
      </w:r>
      <w:r w:rsidR="00F668D7">
        <w:rPr>
          <w:rFonts w:cs="Times New Roman"/>
          <w:szCs w:val="22"/>
          <w:lang w:val="es-MX"/>
        </w:rPr>
        <w:t xml:space="preserve"> y</w:t>
      </w:r>
      <w:r w:rsidRPr="00954142">
        <w:rPr>
          <w:rFonts w:cs="Times New Roman"/>
          <w:szCs w:val="22"/>
          <w:lang w:val="es-MX"/>
        </w:rPr>
        <w:t xml:space="preserve"> explicado principalmente por la participación del gobierno central presupuestario </w:t>
      </w:r>
      <w:r w:rsidR="00F668D7">
        <w:rPr>
          <w:rFonts w:cs="Times New Roman"/>
          <w:szCs w:val="22"/>
          <w:lang w:val="es-MX"/>
        </w:rPr>
        <w:t xml:space="preserve">del </w:t>
      </w:r>
      <w:r w:rsidRPr="00954142">
        <w:rPr>
          <w:rFonts w:cs="Times New Roman"/>
          <w:szCs w:val="22"/>
          <w:lang w:val="es-MX"/>
        </w:rPr>
        <w:t xml:space="preserve">59.6% y los gobiernos locales </w:t>
      </w:r>
      <w:r w:rsidR="00F668D7">
        <w:rPr>
          <w:rFonts w:cs="Times New Roman"/>
          <w:szCs w:val="22"/>
          <w:lang w:val="es-MX"/>
        </w:rPr>
        <w:t xml:space="preserve">del </w:t>
      </w:r>
      <w:r w:rsidRPr="00954142">
        <w:rPr>
          <w:rFonts w:cs="Times New Roman"/>
          <w:szCs w:val="22"/>
          <w:lang w:val="es-MX"/>
        </w:rPr>
        <w:t>36.3%</w:t>
      </w:r>
      <w:r w:rsidRPr="00954142">
        <w:rPr>
          <w:rFonts w:cs="Times New Roman"/>
          <w:szCs w:val="22"/>
        </w:rPr>
        <w:t xml:space="preserve">. Cabe señalar que, </w:t>
      </w:r>
      <w:r w:rsidR="000F211F" w:rsidRPr="00954142">
        <w:rPr>
          <w:rFonts w:cs="Times New Roman"/>
          <w:szCs w:val="22"/>
        </w:rPr>
        <w:t>en relación con el</w:t>
      </w:r>
      <w:r w:rsidRPr="00954142">
        <w:rPr>
          <w:rFonts w:cs="Times New Roman"/>
          <w:szCs w:val="22"/>
        </w:rPr>
        <w:t xml:space="preserve"> PIB, estas cuentas reflejan leve variación, ya que los intereses pasaron a representar el 1.5</w:t>
      </w:r>
      <w:r w:rsidR="00D3466F">
        <w:rPr>
          <w:rFonts w:cs="Times New Roman"/>
          <w:szCs w:val="22"/>
        </w:rPr>
        <w:t>0</w:t>
      </w:r>
      <w:r w:rsidRPr="00954142">
        <w:rPr>
          <w:rFonts w:cs="Times New Roman"/>
          <w:szCs w:val="22"/>
        </w:rPr>
        <w:t>% del PIB, disminuyendo 0.05 puntos porcentuales respecto de 2021, donde registraron participación de 1.55%</w:t>
      </w:r>
      <w:r w:rsidR="00D3466F">
        <w:rPr>
          <w:rFonts w:cs="Times New Roman"/>
          <w:szCs w:val="22"/>
        </w:rPr>
        <w:t>,</w:t>
      </w:r>
      <w:r w:rsidRPr="00954142">
        <w:rPr>
          <w:rFonts w:cs="Times New Roman"/>
          <w:szCs w:val="22"/>
        </w:rPr>
        <w:t xml:space="preserve"> en tanto las donaciones reflejan el 0.07% del PIB en </w:t>
      </w:r>
      <w:r w:rsidR="00D3466F">
        <w:rPr>
          <w:rFonts w:cs="Times New Roman"/>
          <w:szCs w:val="22"/>
        </w:rPr>
        <w:t>2022</w:t>
      </w:r>
      <w:r w:rsidRPr="00954142">
        <w:rPr>
          <w:rFonts w:cs="Times New Roman"/>
          <w:szCs w:val="22"/>
        </w:rPr>
        <w:t xml:space="preserve">, con </w:t>
      </w:r>
      <w:r w:rsidR="0020765D">
        <w:rPr>
          <w:rFonts w:cs="Times New Roman"/>
          <w:szCs w:val="22"/>
        </w:rPr>
        <w:t>un aumento</w:t>
      </w:r>
      <w:r w:rsidRPr="00954142">
        <w:rPr>
          <w:rFonts w:cs="Times New Roman"/>
          <w:szCs w:val="22"/>
        </w:rPr>
        <w:t xml:space="preserve"> de 0.03 puntos porcentuales respecto del año anterior, donde reflejaron el 0.04% del PIB.</w:t>
      </w:r>
    </w:p>
    <w:p w14:paraId="4E1E7B91" w14:textId="4C1BD057" w:rsidR="008B2529" w:rsidRPr="00954142" w:rsidRDefault="006122C1" w:rsidP="00C701B2">
      <w:pPr>
        <w:pStyle w:val="Ttulo1"/>
        <w:numPr>
          <w:ilvl w:val="0"/>
          <w:numId w:val="12"/>
        </w:numPr>
        <w:rPr>
          <w:lang w:val="es-MX"/>
        </w:rPr>
      </w:pPr>
      <w:bookmarkStart w:id="557" w:name="_Toc42023961"/>
      <w:bookmarkStart w:id="558" w:name="_Toc42024013"/>
      <w:bookmarkStart w:id="559" w:name="_Toc136437474"/>
      <w:bookmarkStart w:id="560" w:name="_Toc411347499"/>
      <w:bookmarkEnd w:id="557"/>
      <w:bookmarkEnd w:id="558"/>
      <w:r w:rsidRPr="00954142">
        <w:rPr>
          <w:lang w:val="es-MX"/>
        </w:rPr>
        <w:lastRenderedPageBreak/>
        <w:t xml:space="preserve">Transacciones en Activos </w:t>
      </w:r>
      <w:r w:rsidR="00F4077C" w:rsidRPr="00954142">
        <w:rPr>
          <w:lang w:val="es-MX"/>
        </w:rPr>
        <w:t>No Financieros</w:t>
      </w:r>
      <w:bookmarkEnd w:id="559"/>
    </w:p>
    <w:p w14:paraId="36A443F6" w14:textId="316DAA11" w:rsidR="000F462B" w:rsidRPr="00954142" w:rsidRDefault="00DB727A" w:rsidP="000F462B">
      <w:pPr>
        <w:pStyle w:val="Ttulo2"/>
        <w:numPr>
          <w:ilvl w:val="1"/>
          <w:numId w:val="12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561" w:name="_Toc33109793"/>
      <w:bookmarkStart w:id="562" w:name="_Toc33109836"/>
      <w:bookmarkStart w:id="563" w:name="_Toc33180557"/>
      <w:bookmarkStart w:id="564" w:name="_Toc33180651"/>
      <w:bookmarkStart w:id="565" w:name="_Toc33193548"/>
      <w:bookmarkStart w:id="566" w:name="_Toc33193587"/>
      <w:bookmarkStart w:id="567" w:name="_Toc33196784"/>
      <w:bookmarkStart w:id="568" w:name="_Toc40691760"/>
      <w:bookmarkStart w:id="569" w:name="_Toc40959160"/>
      <w:bookmarkStart w:id="570" w:name="_Toc40975994"/>
      <w:bookmarkStart w:id="571" w:name="_Toc40976063"/>
      <w:bookmarkStart w:id="572" w:name="_Toc40993318"/>
      <w:bookmarkStart w:id="573" w:name="_Toc40993700"/>
      <w:bookmarkStart w:id="574" w:name="_Toc41037576"/>
      <w:bookmarkStart w:id="575" w:name="_Toc41254136"/>
      <w:bookmarkStart w:id="576" w:name="_Toc41254168"/>
      <w:bookmarkStart w:id="577" w:name="_Toc41254188"/>
      <w:bookmarkStart w:id="578" w:name="_Toc42023964"/>
      <w:bookmarkStart w:id="579" w:name="_Toc42024015"/>
      <w:bookmarkStart w:id="580" w:name="_Toc42069112"/>
      <w:bookmarkStart w:id="581" w:name="_Toc49422058"/>
      <w:bookmarkStart w:id="582" w:name="_Toc49422084"/>
      <w:bookmarkStart w:id="583" w:name="_Toc49430663"/>
      <w:bookmarkStart w:id="584" w:name="_Toc49430689"/>
      <w:bookmarkStart w:id="585" w:name="_Toc49750466"/>
      <w:bookmarkStart w:id="586" w:name="_Toc49750716"/>
      <w:bookmarkStart w:id="587" w:name="_Toc49750744"/>
      <w:bookmarkStart w:id="588" w:name="_Toc55284830"/>
      <w:bookmarkStart w:id="589" w:name="_Toc55298848"/>
      <w:bookmarkStart w:id="590" w:name="_Toc55373829"/>
      <w:bookmarkStart w:id="591" w:name="_Toc55374002"/>
      <w:bookmarkStart w:id="592" w:name="_Toc55375139"/>
      <w:bookmarkStart w:id="593" w:name="_Toc55396547"/>
      <w:bookmarkStart w:id="594" w:name="_Toc65230544"/>
      <w:bookmarkStart w:id="595" w:name="_Toc65230782"/>
      <w:bookmarkStart w:id="596" w:name="_Toc65232066"/>
      <w:bookmarkStart w:id="597" w:name="_Toc65232311"/>
      <w:bookmarkStart w:id="598" w:name="_Toc66716170"/>
      <w:bookmarkStart w:id="599" w:name="_Toc71097214"/>
      <w:bookmarkStart w:id="600" w:name="_Toc71097245"/>
      <w:bookmarkStart w:id="601" w:name="_Toc71097320"/>
      <w:bookmarkStart w:id="602" w:name="_Toc71108060"/>
      <w:bookmarkStart w:id="603" w:name="_Toc79055254"/>
      <w:bookmarkStart w:id="604" w:name="_Toc79055285"/>
      <w:bookmarkStart w:id="605" w:name="_Toc79060176"/>
      <w:bookmarkStart w:id="606" w:name="_Toc79060463"/>
      <w:bookmarkStart w:id="607" w:name="_Toc81307820"/>
      <w:bookmarkStart w:id="608" w:name="_Toc83376481"/>
      <w:bookmarkStart w:id="609" w:name="_Toc86386720"/>
      <w:bookmarkStart w:id="610" w:name="_Toc86405406"/>
      <w:bookmarkStart w:id="611" w:name="_Toc98162436"/>
      <w:bookmarkStart w:id="612" w:name="_Toc98162468"/>
      <w:bookmarkStart w:id="613" w:name="_Toc98234994"/>
      <w:bookmarkStart w:id="614" w:name="_Toc98235189"/>
      <w:bookmarkStart w:id="615" w:name="_Toc98235274"/>
      <w:bookmarkStart w:id="616" w:name="_Toc98757144"/>
      <w:bookmarkStart w:id="617" w:name="_Toc101874699"/>
      <w:bookmarkStart w:id="618" w:name="_Toc101954155"/>
      <w:bookmarkStart w:id="619" w:name="_Toc101971972"/>
      <w:bookmarkStart w:id="620" w:name="_Toc101974064"/>
      <w:bookmarkStart w:id="621" w:name="_Toc102039749"/>
      <w:bookmarkStart w:id="622" w:name="_Toc102039787"/>
      <w:bookmarkStart w:id="623" w:name="_Toc102039827"/>
      <w:bookmarkStart w:id="624" w:name="_Toc102039858"/>
      <w:bookmarkStart w:id="625" w:name="_Toc102040916"/>
      <w:bookmarkStart w:id="626" w:name="_Toc102477764"/>
      <w:bookmarkStart w:id="627" w:name="_Toc102477795"/>
      <w:bookmarkStart w:id="628" w:name="_Toc109824825"/>
      <w:bookmarkStart w:id="629" w:name="_Toc109828781"/>
      <w:bookmarkStart w:id="630" w:name="_Toc109828844"/>
      <w:bookmarkStart w:id="631" w:name="_Toc109829020"/>
      <w:bookmarkStart w:id="632" w:name="_Toc109829051"/>
      <w:bookmarkStart w:id="633" w:name="_Toc109833895"/>
      <w:bookmarkStart w:id="634" w:name="_Toc110237438"/>
      <w:bookmarkStart w:id="635" w:name="_Toc117775315"/>
      <w:bookmarkStart w:id="636" w:name="_Toc117781284"/>
      <w:bookmarkStart w:id="637" w:name="_Toc125620813"/>
      <w:bookmarkStart w:id="638" w:name="_Toc125620844"/>
      <w:bookmarkStart w:id="639" w:name="_Toc125620875"/>
      <w:bookmarkStart w:id="640" w:name="_Toc125620911"/>
      <w:bookmarkStart w:id="641" w:name="_Toc125620942"/>
      <w:bookmarkStart w:id="642" w:name="_Toc125620975"/>
      <w:bookmarkStart w:id="643" w:name="_Toc125621028"/>
      <w:bookmarkStart w:id="644" w:name="_Toc125621082"/>
      <w:bookmarkStart w:id="645" w:name="_Toc125623560"/>
      <w:bookmarkStart w:id="646" w:name="_Toc125623592"/>
      <w:bookmarkStart w:id="647" w:name="_Toc125623624"/>
      <w:bookmarkStart w:id="648" w:name="_Toc125970370"/>
      <w:bookmarkStart w:id="649" w:name="_Toc125970402"/>
      <w:bookmarkStart w:id="650" w:name="_Toc127365853"/>
      <w:bookmarkStart w:id="651" w:name="_Toc127434604"/>
      <w:bookmarkStart w:id="652" w:name="_Toc127436972"/>
      <w:bookmarkStart w:id="653" w:name="_Toc127437333"/>
      <w:bookmarkStart w:id="654" w:name="_Toc127437688"/>
      <w:bookmarkStart w:id="655" w:name="_Toc136437475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r>
        <w:rPr>
          <w:rFonts w:cs="Times New Roman"/>
          <w:sz w:val="22"/>
          <w:szCs w:val="22"/>
        </w:rPr>
        <w:t>Aumento</w:t>
      </w:r>
      <w:r w:rsidR="00E936F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</w:t>
      </w:r>
      <w:r w:rsidR="00E936F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</w:t>
      </w:r>
      <w:r w:rsidR="000F462B" w:rsidRPr="00954142">
        <w:rPr>
          <w:rFonts w:cs="Times New Roman"/>
          <w:sz w:val="22"/>
          <w:szCs w:val="22"/>
        </w:rPr>
        <w:t xml:space="preserve">a inversión </w:t>
      </w:r>
      <w:r w:rsidR="001A6717" w:rsidRPr="00954142">
        <w:rPr>
          <w:rFonts w:cs="Times New Roman"/>
          <w:sz w:val="22"/>
          <w:szCs w:val="22"/>
        </w:rPr>
        <w:t>en 2022</w:t>
      </w:r>
      <w:bookmarkEnd w:id="655"/>
    </w:p>
    <w:p w14:paraId="2532B044" w14:textId="163F3321" w:rsidR="004D4EE3" w:rsidRPr="00954142" w:rsidRDefault="00E61032" w:rsidP="006C6243"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87940" behindDoc="0" locked="0" layoutInCell="1" allowOverlap="1" wp14:anchorId="4C3AD3BE" wp14:editId="2285625A">
            <wp:simplePos x="0" y="0"/>
            <wp:positionH relativeFrom="margin">
              <wp:posOffset>2917825</wp:posOffset>
            </wp:positionH>
            <wp:positionV relativeFrom="paragraph">
              <wp:posOffset>21903</wp:posOffset>
            </wp:positionV>
            <wp:extent cx="3078480" cy="1412240"/>
            <wp:effectExtent l="57150" t="0" r="121920" b="16510"/>
            <wp:wrapSquare wrapText="bothSides"/>
            <wp:docPr id="1197897813" name="Diagrama 11978978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46" w:rsidRPr="00954142">
        <w:t xml:space="preserve">En </w:t>
      </w:r>
      <w:r w:rsidR="00CB36D2" w:rsidRPr="00954142">
        <w:t xml:space="preserve">2022, el gobierno general </w:t>
      </w:r>
      <w:r w:rsidR="001C475F" w:rsidRPr="00954142">
        <w:t>tuvo</w:t>
      </w:r>
      <w:r w:rsidR="00CB36D2" w:rsidRPr="00954142">
        <w:t xml:space="preserve"> un</w:t>
      </w:r>
      <w:r w:rsidR="009B5F2B" w:rsidRPr="00954142">
        <w:t>a</w:t>
      </w:r>
      <w:r w:rsidR="00CB36D2" w:rsidRPr="00954142">
        <w:t xml:space="preserve"> </w:t>
      </w:r>
      <w:r w:rsidR="00183B3E" w:rsidRPr="00954142">
        <w:t>inversión bruta en activos no financieros</w:t>
      </w:r>
      <w:r w:rsidR="005422E0" w:rsidRPr="00954142">
        <w:t xml:space="preserve"> por</w:t>
      </w:r>
      <w:r w:rsidR="00183B3E" w:rsidRPr="00954142">
        <w:t xml:space="preserve"> Q</w:t>
      </w:r>
      <w:r w:rsidR="00CB36D2" w:rsidRPr="00954142">
        <w:t>16</w:t>
      </w:r>
      <w:r w:rsidR="001A6717" w:rsidRPr="00954142">
        <w:t>,</w:t>
      </w:r>
      <w:r w:rsidR="00CB36D2" w:rsidRPr="00954142">
        <w:t>703</w:t>
      </w:r>
      <w:r w:rsidR="001A6717" w:rsidRPr="00954142">
        <w:t>.</w:t>
      </w:r>
      <w:r w:rsidR="00CB36D2" w:rsidRPr="00954142">
        <w:t>6</w:t>
      </w:r>
      <w:r w:rsidR="001A6717" w:rsidRPr="00954142">
        <w:t xml:space="preserve"> </w:t>
      </w:r>
      <w:r w:rsidR="00183B3E" w:rsidRPr="00954142">
        <w:t>millones</w:t>
      </w:r>
      <w:r w:rsidR="00A87D57" w:rsidRPr="00954142">
        <w:t xml:space="preserve">, </w:t>
      </w:r>
      <w:r w:rsidR="00E936F3">
        <w:t>mostrando</w:t>
      </w:r>
      <w:r w:rsidR="00CB36D2" w:rsidRPr="00954142">
        <w:t xml:space="preserve"> un aumento del </w:t>
      </w:r>
      <w:r w:rsidR="00907316" w:rsidRPr="00954142">
        <w:t>10</w:t>
      </w:r>
      <w:r w:rsidR="00A6401D" w:rsidRPr="00954142">
        <w:t>.</w:t>
      </w:r>
      <w:r w:rsidR="00907316" w:rsidRPr="00954142">
        <w:t>9</w:t>
      </w:r>
      <w:r w:rsidR="00A6401D" w:rsidRPr="00954142">
        <w:t>% (Q</w:t>
      </w:r>
      <w:r w:rsidR="00907316" w:rsidRPr="00954142">
        <w:t>1,636.4</w:t>
      </w:r>
      <w:r w:rsidR="00A6401D" w:rsidRPr="00954142">
        <w:t xml:space="preserve"> millones)</w:t>
      </w:r>
      <w:r w:rsidR="00482FEC" w:rsidRPr="00954142">
        <w:t xml:space="preserve"> respecto a lo observado en 2021</w:t>
      </w:r>
      <w:r w:rsidR="00A6401D" w:rsidRPr="00954142">
        <w:t xml:space="preserve">. </w:t>
      </w:r>
      <w:r w:rsidR="004D4EE3" w:rsidRPr="00954142">
        <w:t>En términos del PIB, es</w:t>
      </w:r>
      <w:r w:rsidR="00D07B34" w:rsidRPr="00954142">
        <w:t xml:space="preserve">te se sitúa en </w:t>
      </w:r>
      <w:r w:rsidR="00674298" w:rsidRPr="00954142">
        <w:t>2.3</w:t>
      </w:r>
      <w:r w:rsidR="00E96983" w:rsidRPr="00954142">
        <w:t>%</w:t>
      </w:r>
      <w:r w:rsidR="00E96983">
        <w:t>,</w:t>
      </w:r>
      <w:r w:rsidR="00E96983" w:rsidRPr="00954142">
        <w:t xml:space="preserve"> siendo</w:t>
      </w:r>
      <w:r w:rsidR="00674298" w:rsidRPr="00954142">
        <w:t xml:space="preserve"> </w:t>
      </w:r>
      <w:r w:rsidR="00B55A0E" w:rsidRPr="00954142">
        <w:t xml:space="preserve">los gobiernos locales </w:t>
      </w:r>
      <w:r w:rsidR="001008B0" w:rsidRPr="00954142">
        <w:t xml:space="preserve">quienes </w:t>
      </w:r>
      <w:r w:rsidR="003E1454">
        <w:t>realizan</w:t>
      </w:r>
      <w:r w:rsidR="001008B0" w:rsidRPr="00954142">
        <w:t xml:space="preserve"> la mayor parte</w:t>
      </w:r>
      <w:r w:rsidR="003E1454">
        <w:t xml:space="preserve"> con un</w:t>
      </w:r>
      <w:r w:rsidR="00B55A0E" w:rsidRPr="00954142">
        <w:t xml:space="preserve"> </w:t>
      </w:r>
      <w:r w:rsidR="000E5EC7" w:rsidRPr="00954142">
        <w:t xml:space="preserve">66.3% de la ejecución </w:t>
      </w:r>
      <w:r w:rsidR="00451979" w:rsidRPr="00954142">
        <w:t>tota</w:t>
      </w:r>
      <w:r w:rsidR="001C475F" w:rsidRPr="00954142">
        <w:t>l</w:t>
      </w:r>
      <w:r w:rsidR="00451979" w:rsidRPr="00954142">
        <w:t xml:space="preserve"> de la inversión</w:t>
      </w:r>
      <w:r w:rsidR="00E26E83" w:rsidRPr="00954142">
        <w:t>, seguido del</w:t>
      </w:r>
      <w:r w:rsidR="00A94FFF" w:rsidRPr="00954142">
        <w:t xml:space="preserve"> </w:t>
      </w:r>
      <w:r w:rsidR="00B55A0E" w:rsidRPr="00954142">
        <w:t>gobierno central presupuestario</w:t>
      </w:r>
      <w:r w:rsidR="00E26E83" w:rsidRPr="00954142">
        <w:t xml:space="preserve"> que ejecuta el</w:t>
      </w:r>
      <w:r w:rsidR="00B55A0E" w:rsidRPr="00954142">
        <w:t xml:space="preserve"> 27.7%</w:t>
      </w:r>
      <w:r w:rsidR="00E26E83" w:rsidRPr="00954142">
        <w:t>,</w:t>
      </w:r>
      <w:r w:rsidR="00D927D1" w:rsidRPr="00954142">
        <w:t xml:space="preserve"> las entidades del gobierno central extrapresupuestarias un 3.8% y</w:t>
      </w:r>
      <w:r w:rsidR="00E26E83" w:rsidRPr="00954142">
        <w:t xml:space="preserve"> los fondos de seguridad social un </w:t>
      </w:r>
      <w:r w:rsidR="00D927D1" w:rsidRPr="00954142">
        <w:t>2.2%</w:t>
      </w:r>
    </w:p>
    <w:p w14:paraId="605FF631" w14:textId="4F9725F2" w:rsidR="00745109" w:rsidRPr="00954142" w:rsidRDefault="00A6401D" w:rsidP="00CD34D6">
      <w:pPr>
        <w:rPr>
          <w:rFonts w:cs="Times New Roman"/>
          <w:szCs w:val="22"/>
        </w:rPr>
      </w:pPr>
      <w:r w:rsidRPr="00954142">
        <w:rPr>
          <w:rFonts w:cs="Times New Roman"/>
          <w:szCs w:val="22"/>
        </w:rPr>
        <w:t>La mayor</w:t>
      </w:r>
      <w:r w:rsidR="00220447" w:rsidRPr="00954142">
        <w:rPr>
          <w:rFonts w:cs="Times New Roman"/>
          <w:szCs w:val="22"/>
        </w:rPr>
        <w:t xml:space="preserve"> parte de la</w:t>
      </w:r>
      <w:r w:rsidRPr="00954142">
        <w:rPr>
          <w:rFonts w:cs="Times New Roman"/>
          <w:szCs w:val="22"/>
        </w:rPr>
        <w:t xml:space="preserve"> inversión fue realiza</w:t>
      </w:r>
      <w:r w:rsidR="00482FEC" w:rsidRPr="00954142">
        <w:rPr>
          <w:rFonts w:cs="Times New Roman"/>
          <w:szCs w:val="22"/>
        </w:rPr>
        <w:t>da</w:t>
      </w:r>
      <w:r w:rsidR="00C84B1F" w:rsidRPr="00954142">
        <w:rPr>
          <w:rFonts w:cs="Times New Roman"/>
          <w:szCs w:val="22"/>
        </w:rPr>
        <w:t xml:space="preserve"> para</w:t>
      </w:r>
      <w:r w:rsidR="00C408CB" w:rsidRPr="00954142">
        <w:rPr>
          <w:rFonts w:cs="Times New Roman"/>
          <w:szCs w:val="22"/>
        </w:rPr>
        <w:t xml:space="preserve"> la adquisición de</w:t>
      </w:r>
      <w:r w:rsidR="00C84B1F" w:rsidRPr="00954142">
        <w:rPr>
          <w:rFonts w:cs="Times New Roman"/>
          <w:szCs w:val="22"/>
        </w:rPr>
        <w:t xml:space="preserve"> activos fijos</w:t>
      </w:r>
      <w:r w:rsidRPr="00954142">
        <w:rPr>
          <w:rFonts w:cs="Times New Roman"/>
          <w:szCs w:val="22"/>
        </w:rPr>
        <w:t xml:space="preserve"> </w:t>
      </w:r>
      <w:r w:rsidR="00C408CB" w:rsidRPr="00954142">
        <w:rPr>
          <w:rFonts w:cs="Times New Roman"/>
          <w:szCs w:val="22"/>
        </w:rPr>
        <w:t xml:space="preserve">en </w:t>
      </w:r>
      <w:r w:rsidR="00CB746C" w:rsidRPr="00954142">
        <w:rPr>
          <w:rFonts w:cs="Times New Roman"/>
          <w:szCs w:val="22"/>
        </w:rPr>
        <w:t>edificios y estructuras</w:t>
      </w:r>
      <w:r w:rsidR="0095029F" w:rsidRPr="00954142">
        <w:rPr>
          <w:rFonts w:cs="Times New Roman"/>
          <w:szCs w:val="22"/>
        </w:rPr>
        <w:t>,</w:t>
      </w:r>
      <w:r w:rsidR="00CB746C" w:rsidRPr="00954142">
        <w:rPr>
          <w:rFonts w:cs="Times New Roman"/>
          <w:szCs w:val="22"/>
        </w:rPr>
        <w:t xml:space="preserve"> </w:t>
      </w:r>
      <w:r w:rsidR="0095029F" w:rsidRPr="00954142">
        <w:rPr>
          <w:rFonts w:cs="Times New Roman"/>
          <w:szCs w:val="22"/>
        </w:rPr>
        <w:t>ejecutando un total de</w:t>
      </w:r>
      <w:r w:rsidR="00376E3F" w:rsidRPr="00954142">
        <w:rPr>
          <w:rFonts w:cs="Times New Roman"/>
          <w:szCs w:val="22"/>
        </w:rPr>
        <w:t xml:space="preserve"> Q</w:t>
      </w:r>
      <w:r w:rsidR="00610E0D" w:rsidRPr="00954142">
        <w:rPr>
          <w:rFonts w:cs="Times New Roman"/>
          <w:szCs w:val="22"/>
        </w:rPr>
        <w:t>14,351.3</w:t>
      </w:r>
      <w:r w:rsidR="00376E3F" w:rsidRPr="00954142">
        <w:rPr>
          <w:rFonts w:cs="Times New Roman"/>
          <w:szCs w:val="22"/>
        </w:rPr>
        <w:t xml:space="preserve"> millones</w:t>
      </w:r>
      <w:r w:rsidR="00E936F3">
        <w:rPr>
          <w:rFonts w:cs="Times New Roman"/>
          <w:szCs w:val="22"/>
        </w:rPr>
        <w:t>,</w:t>
      </w:r>
      <w:r w:rsidR="00610E0D" w:rsidRPr="00954142">
        <w:rPr>
          <w:rFonts w:cs="Times New Roman"/>
          <w:szCs w:val="22"/>
        </w:rPr>
        <w:t xml:space="preserve"> </w:t>
      </w:r>
      <w:r w:rsidR="00905FA0" w:rsidRPr="00954142">
        <w:rPr>
          <w:rFonts w:cs="Times New Roman"/>
          <w:szCs w:val="22"/>
        </w:rPr>
        <w:t>con una tasa de crecimiento del</w:t>
      </w:r>
      <w:r w:rsidR="00610E0D" w:rsidRPr="00954142">
        <w:rPr>
          <w:rFonts w:cs="Times New Roman"/>
          <w:szCs w:val="22"/>
        </w:rPr>
        <w:t xml:space="preserve"> </w:t>
      </w:r>
      <w:r w:rsidR="00F3113C" w:rsidRPr="00954142">
        <w:rPr>
          <w:rFonts w:cs="Times New Roman"/>
          <w:szCs w:val="22"/>
        </w:rPr>
        <w:t>6.1</w:t>
      </w:r>
      <w:r w:rsidR="00887326" w:rsidRPr="00954142">
        <w:rPr>
          <w:rFonts w:cs="Times New Roman"/>
          <w:szCs w:val="22"/>
        </w:rPr>
        <w:t>% (Q</w:t>
      </w:r>
      <w:r w:rsidR="00F3113C" w:rsidRPr="00954142">
        <w:rPr>
          <w:rFonts w:cs="Times New Roman"/>
          <w:szCs w:val="22"/>
        </w:rPr>
        <w:t xml:space="preserve">829.3 </w:t>
      </w:r>
      <w:r w:rsidR="00887326" w:rsidRPr="00954142">
        <w:rPr>
          <w:rFonts w:cs="Times New Roman"/>
          <w:szCs w:val="22"/>
        </w:rPr>
        <w:t>millones)</w:t>
      </w:r>
      <w:r w:rsidR="005D338E" w:rsidRPr="00954142">
        <w:rPr>
          <w:rFonts w:cs="Times New Roman"/>
          <w:szCs w:val="22"/>
        </w:rPr>
        <w:t xml:space="preserve"> y </w:t>
      </w:r>
      <w:r w:rsidR="00783CA6" w:rsidRPr="00954142">
        <w:rPr>
          <w:rFonts w:cs="Times New Roman"/>
          <w:szCs w:val="22"/>
        </w:rPr>
        <w:t xml:space="preserve">este aumento se deriva principalmente por la </w:t>
      </w:r>
      <w:r w:rsidR="00482FEC" w:rsidRPr="00954142">
        <w:rPr>
          <w:rFonts w:cs="Times New Roman"/>
          <w:szCs w:val="22"/>
        </w:rPr>
        <w:t xml:space="preserve"> </w:t>
      </w:r>
      <w:r w:rsidR="007009F8" w:rsidRPr="00954142">
        <w:rPr>
          <w:rFonts w:cs="Times New Roman"/>
          <w:szCs w:val="22"/>
        </w:rPr>
        <w:t>inversión</w:t>
      </w:r>
      <w:r w:rsidR="0082342B" w:rsidRPr="00954142">
        <w:rPr>
          <w:rFonts w:cs="Times New Roman"/>
          <w:szCs w:val="22"/>
        </w:rPr>
        <w:t xml:space="preserve"> en las construcciones de bienes nacio</w:t>
      </w:r>
      <w:r w:rsidR="00141CCF" w:rsidRPr="00954142">
        <w:rPr>
          <w:rFonts w:cs="Times New Roman"/>
          <w:szCs w:val="22"/>
        </w:rPr>
        <w:t xml:space="preserve">nales </w:t>
      </w:r>
      <w:r w:rsidR="0082342B" w:rsidRPr="00954142">
        <w:rPr>
          <w:rFonts w:cs="Times New Roman"/>
          <w:szCs w:val="22"/>
        </w:rPr>
        <w:t xml:space="preserve">de uso </w:t>
      </w:r>
      <w:r w:rsidR="00783CA6" w:rsidRPr="00954142">
        <w:rPr>
          <w:rFonts w:cs="Times New Roman"/>
          <w:szCs w:val="22"/>
        </w:rPr>
        <w:t xml:space="preserve">no </w:t>
      </w:r>
      <w:r w:rsidR="0082342B" w:rsidRPr="00954142">
        <w:rPr>
          <w:rFonts w:cs="Times New Roman"/>
          <w:szCs w:val="22"/>
        </w:rPr>
        <w:t>común</w:t>
      </w:r>
      <w:r w:rsidR="001E13DE" w:rsidRPr="00954142">
        <w:rPr>
          <w:rFonts w:cs="Times New Roman"/>
          <w:szCs w:val="22"/>
        </w:rPr>
        <w:t xml:space="preserve"> </w:t>
      </w:r>
      <w:r w:rsidR="00745109" w:rsidRPr="00954142">
        <w:rPr>
          <w:rFonts w:cs="Times New Roman"/>
          <w:szCs w:val="22"/>
        </w:rPr>
        <w:t>(incluye la construcción de escuelas, hospitales y edificios entre otros)</w:t>
      </w:r>
      <w:r w:rsidR="00E936F3">
        <w:rPr>
          <w:rFonts w:cs="Times New Roman"/>
          <w:szCs w:val="22"/>
        </w:rPr>
        <w:t>,</w:t>
      </w:r>
      <w:r w:rsidR="00761508" w:rsidRPr="00954142">
        <w:rPr>
          <w:rFonts w:cs="Times New Roman"/>
          <w:szCs w:val="22"/>
        </w:rPr>
        <w:t xml:space="preserve"> la cual ascendió a Q2,124.3 millones</w:t>
      </w:r>
      <w:r w:rsidR="00E936F3">
        <w:rPr>
          <w:rFonts w:cs="Times New Roman"/>
          <w:szCs w:val="22"/>
        </w:rPr>
        <w:t>,</w:t>
      </w:r>
      <w:r w:rsidR="00761508" w:rsidRPr="00954142">
        <w:rPr>
          <w:rFonts w:cs="Times New Roman"/>
          <w:szCs w:val="22"/>
        </w:rPr>
        <w:t xml:space="preserve"> </w:t>
      </w:r>
      <w:r w:rsidR="00E936F3">
        <w:rPr>
          <w:rFonts w:cs="Times New Roman"/>
          <w:szCs w:val="22"/>
        </w:rPr>
        <w:t>con</w:t>
      </w:r>
      <w:r w:rsidR="00A81F29" w:rsidRPr="00954142">
        <w:rPr>
          <w:rFonts w:cs="Times New Roman"/>
          <w:szCs w:val="22"/>
        </w:rPr>
        <w:t xml:space="preserve"> </w:t>
      </w:r>
      <w:r w:rsidR="00761508" w:rsidRPr="00954142">
        <w:rPr>
          <w:rFonts w:cs="Times New Roman"/>
          <w:szCs w:val="22"/>
        </w:rPr>
        <w:t xml:space="preserve">un aumento </w:t>
      </w:r>
      <w:r w:rsidR="005A22B2" w:rsidRPr="00954142">
        <w:rPr>
          <w:rFonts w:cs="Times New Roman"/>
          <w:szCs w:val="22"/>
        </w:rPr>
        <w:t>del 28.7% (Q473.1 millones) respecto a lo observado en 2021.</w:t>
      </w:r>
      <w:r w:rsidR="008919A1" w:rsidRPr="00954142">
        <w:rPr>
          <w:rFonts w:cs="Times New Roman"/>
          <w:szCs w:val="22"/>
        </w:rPr>
        <w:t xml:space="preserve"> </w:t>
      </w:r>
      <w:r w:rsidR="00486520" w:rsidRPr="00954142">
        <w:rPr>
          <w:rFonts w:cs="Times New Roman"/>
          <w:szCs w:val="22"/>
        </w:rPr>
        <w:t>Cabe mencionar que e</w:t>
      </w:r>
      <w:r w:rsidR="0052377C" w:rsidRPr="00954142">
        <w:rPr>
          <w:rFonts w:cs="Times New Roman"/>
          <w:szCs w:val="22"/>
        </w:rPr>
        <w:t>l aumento e</w:t>
      </w:r>
      <w:r w:rsidR="00F100D0" w:rsidRPr="00954142">
        <w:rPr>
          <w:rFonts w:cs="Times New Roman"/>
          <w:szCs w:val="22"/>
        </w:rPr>
        <w:t xml:space="preserve">n este renglón </w:t>
      </w:r>
      <w:r w:rsidR="00E936F3">
        <w:rPr>
          <w:rFonts w:cs="Times New Roman"/>
          <w:szCs w:val="22"/>
        </w:rPr>
        <w:t>de gasto</w:t>
      </w:r>
      <w:r w:rsidR="00F100D0" w:rsidRPr="00954142">
        <w:rPr>
          <w:rFonts w:cs="Times New Roman"/>
          <w:szCs w:val="22"/>
        </w:rPr>
        <w:t xml:space="preserve"> se</w:t>
      </w:r>
      <w:r w:rsidR="0052377C" w:rsidRPr="00954142">
        <w:rPr>
          <w:rFonts w:cs="Times New Roman"/>
          <w:szCs w:val="22"/>
        </w:rPr>
        <w:t xml:space="preserve"> </w:t>
      </w:r>
      <w:r w:rsidR="00486520" w:rsidRPr="00954142">
        <w:rPr>
          <w:rFonts w:cs="Times New Roman"/>
          <w:szCs w:val="22"/>
        </w:rPr>
        <w:t>atribuye al gobierno central presupuestario, que en 2022</w:t>
      </w:r>
      <w:r w:rsidR="004A7746" w:rsidRPr="00954142">
        <w:rPr>
          <w:rFonts w:cs="Times New Roman"/>
          <w:szCs w:val="22"/>
        </w:rPr>
        <w:t xml:space="preserve"> ejecut</w:t>
      </w:r>
      <w:r w:rsidR="00E936F3">
        <w:rPr>
          <w:rFonts w:cs="Times New Roman"/>
          <w:szCs w:val="22"/>
        </w:rPr>
        <w:t>ó</w:t>
      </w:r>
      <w:r w:rsidR="004A7746" w:rsidRPr="00954142">
        <w:rPr>
          <w:rFonts w:cs="Times New Roman"/>
          <w:szCs w:val="22"/>
        </w:rPr>
        <w:t xml:space="preserve"> Q543.</w:t>
      </w:r>
      <w:r w:rsidR="00B80A81" w:rsidRPr="00954142">
        <w:rPr>
          <w:rFonts w:cs="Times New Roman"/>
          <w:szCs w:val="22"/>
        </w:rPr>
        <w:t>8</w:t>
      </w:r>
      <w:r w:rsidR="004A7746" w:rsidRPr="00954142">
        <w:rPr>
          <w:rFonts w:cs="Times New Roman"/>
          <w:szCs w:val="22"/>
        </w:rPr>
        <w:t xml:space="preserve"> millones m</w:t>
      </w:r>
      <w:r w:rsidR="0003766B" w:rsidRPr="00954142">
        <w:rPr>
          <w:rFonts w:cs="Times New Roman"/>
          <w:szCs w:val="22"/>
        </w:rPr>
        <w:t>á</w:t>
      </w:r>
      <w:r w:rsidR="004A7746" w:rsidRPr="00954142">
        <w:rPr>
          <w:rFonts w:cs="Times New Roman"/>
          <w:szCs w:val="22"/>
        </w:rPr>
        <w:t xml:space="preserve">s que en el año previo, el gobierno central </w:t>
      </w:r>
      <w:r w:rsidR="000A09ED" w:rsidRPr="00954142">
        <w:rPr>
          <w:rFonts w:cs="Times New Roman"/>
          <w:szCs w:val="22"/>
        </w:rPr>
        <w:t>extrapresupuestario</w:t>
      </w:r>
      <w:r w:rsidR="004A7746" w:rsidRPr="00954142">
        <w:rPr>
          <w:rFonts w:cs="Times New Roman"/>
          <w:szCs w:val="22"/>
        </w:rPr>
        <w:t xml:space="preserve"> </w:t>
      </w:r>
      <w:r w:rsidR="000A09ED" w:rsidRPr="00954142">
        <w:rPr>
          <w:rFonts w:cs="Times New Roman"/>
          <w:szCs w:val="22"/>
        </w:rPr>
        <w:t>ejecut</w:t>
      </w:r>
      <w:r w:rsidR="00E936F3">
        <w:rPr>
          <w:rFonts w:cs="Times New Roman"/>
          <w:szCs w:val="22"/>
        </w:rPr>
        <w:t>ó</w:t>
      </w:r>
      <w:r w:rsidR="000A09ED" w:rsidRPr="00954142">
        <w:rPr>
          <w:rFonts w:cs="Times New Roman"/>
          <w:szCs w:val="22"/>
        </w:rPr>
        <w:t xml:space="preserve"> Q5.9 millones adicionales</w:t>
      </w:r>
      <w:r w:rsidR="00E936F3">
        <w:rPr>
          <w:rFonts w:cs="Times New Roman"/>
          <w:szCs w:val="22"/>
        </w:rPr>
        <w:t>,</w:t>
      </w:r>
      <w:r w:rsidR="000A09ED" w:rsidRPr="00954142">
        <w:rPr>
          <w:rFonts w:cs="Times New Roman"/>
          <w:szCs w:val="22"/>
        </w:rPr>
        <w:t xml:space="preserve"> mientras que los gobiernos locales </w:t>
      </w:r>
      <w:r w:rsidR="0003766B" w:rsidRPr="00954142">
        <w:rPr>
          <w:rFonts w:cs="Times New Roman"/>
          <w:szCs w:val="22"/>
        </w:rPr>
        <w:t>disminuyeron en Q76.6 millones.</w:t>
      </w:r>
    </w:p>
    <w:p w14:paraId="34D480F5" w14:textId="36020741" w:rsidR="00F3371E" w:rsidRPr="00954142" w:rsidRDefault="00106902" w:rsidP="00CD34D6">
      <w:pPr>
        <w:rPr>
          <w:rFonts w:cs="Times New Roman"/>
          <w:szCs w:val="22"/>
        </w:rPr>
      </w:pPr>
      <w:r w:rsidRPr="00954142">
        <w:rPr>
          <w:rFonts w:cs="Times New Roman"/>
          <w:szCs w:val="22"/>
        </w:rPr>
        <w:t>La segunda cuenta económica con mayor</w:t>
      </w:r>
      <w:r w:rsidR="00887326" w:rsidRPr="00954142">
        <w:rPr>
          <w:rFonts w:cs="Times New Roman"/>
          <w:szCs w:val="22"/>
        </w:rPr>
        <w:t xml:space="preserve"> inversión</w:t>
      </w:r>
      <w:r w:rsidRPr="00954142">
        <w:rPr>
          <w:rFonts w:cs="Times New Roman"/>
          <w:szCs w:val="22"/>
        </w:rPr>
        <w:t xml:space="preserve"> es</w:t>
      </w:r>
      <w:r w:rsidR="00887326" w:rsidRPr="00954142">
        <w:rPr>
          <w:rFonts w:cs="Times New Roman"/>
          <w:szCs w:val="22"/>
        </w:rPr>
        <w:t xml:space="preserve"> en maquinaria y equipo</w:t>
      </w:r>
      <w:r w:rsidRPr="00954142">
        <w:rPr>
          <w:rFonts w:cs="Times New Roman"/>
          <w:szCs w:val="22"/>
        </w:rPr>
        <w:t xml:space="preserve"> con un total de </w:t>
      </w:r>
      <w:r w:rsidR="00887326" w:rsidRPr="00954142">
        <w:rPr>
          <w:rFonts w:cs="Times New Roman"/>
          <w:szCs w:val="22"/>
        </w:rPr>
        <w:t>Q</w:t>
      </w:r>
      <w:r w:rsidR="00F17618" w:rsidRPr="00954142">
        <w:rPr>
          <w:rFonts w:cs="Times New Roman"/>
          <w:szCs w:val="22"/>
        </w:rPr>
        <w:t>2,086.45</w:t>
      </w:r>
      <w:r w:rsidR="00207811" w:rsidRPr="00954142">
        <w:rPr>
          <w:rFonts w:cs="Times New Roman"/>
          <w:szCs w:val="22"/>
        </w:rPr>
        <w:t xml:space="preserve"> millones</w:t>
      </w:r>
      <w:r w:rsidR="00887326" w:rsidRPr="00954142">
        <w:rPr>
          <w:rFonts w:cs="Times New Roman"/>
          <w:szCs w:val="22"/>
        </w:rPr>
        <w:t xml:space="preserve"> </w:t>
      </w:r>
      <w:r w:rsidR="00F17618" w:rsidRPr="00954142">
        <w:rPr>
          <w:rFonts w:cs="Times New Roman"/>
          <w:szCs w:val="22"/>
        </w:rPr>
        <w:t xml:space="preserve">siendo un </w:t>
      </w:r>
      <w:r w:rsidR="00CF2356" w:rsidRPr="00954142">
        <w:rPr>
          <w:rFonts w:cs="Times New Roman"/>
          <w:szCs w:val="22"/>
        </w:rPr>
        <w:t xml:space="preserve">aumento del 39.5% (Q590.8 </w:t>
      </w:r>
      <w:r w:rsidR="00C43672" w:rsidRPr="00954142">
        <w:rPr>
          <w:rFonts w:cs="Times New Roman"/>
          <w:szCs w:val="22"/>
        </w:rPr>
        <w:t>millones)</w:t>
      </w:r>
      <w:r w:rsidR="00303418" w:rsidRPr="00954142">
        <w:rPr>
          <w:rFonts w:cs="Times New Roman"/>
          <w:szCs w:val="22"/>
        </w:rPr>
        <w:t xml:space="preserve"> respecto al año previo</w:t>
      </w:r>
      <w:r w:rsidR="00CF2356" w:rsidRPr="00954142">
        <w:rPr>
          <w:rFonts w:cs="Times New Roman"/>
          <w:szCs w:val="22"/>
        </w:rPr>
        <w:t xml:space="preserve">. En términos del PIB, esta cuenta se sitúa </w:t>
      </w:r>
      <w:r w:rsidR="000C0E21" w:rsidRPr="00954142">
        <w:rPr>
          <w:rFonts w:cs="Times New Roman"/>
          <w:szCs w:val="22"/>
        </w:rPr>
        <w:t>en torno</w:t>
      </w:r>
      <w:r w:rsidR="00CF2356" w:rsidRPr="00954142">
        <w:rPr>
          <w:rFonts w:cs="Times New Roman"/>
          <w:szCs w:val="22"/>
        </w:rPr>
        <w:t xml:space="preserve"> al </w:t>
      </w:r>
      <w:r w:rsidR="001826A8" w:rsidRPr="00954142">
        <w:rPr>
          <w:rFonts w:cs="Times New Roman"/>
          <w:szCs w:val="22"/>
        </w:rPr>
        <w:t>0.3%</w:t>
      </w:r>
      <w:r w:rsidR="00E936F3">
        <w:rPr>
          <w:rFonts w:cs="Times New Roman"/>
          <w:szCs w:val="22"/>
        </w:rPr>
        <w:t>, mostrando</w:t>
      </w:r>
      <w:r w:rsidR="001826A8" w:rsidRPr="00954142">
        <w:rPr>
          <w:rFonts w:cs="Times New Roman"/>
          <w:szCs w:val="22"/>
        </w:rPr>
        <w:t xml:space="preserve"> un aumento del 0.1 puntos porcentuales respecto al </w:t>
      </w:r>
      <w:r w:rsidR="002A67FB" w:rsidRPr="00954142">
        <w:rPr>
          <w:rFonts w:cs="Times New Roman"/>
          <w:szCs w:val="22"/>
        </w:rPr>
        <w:t xml:space="preserve">0.2% observado en 2021. </w:t>
      </w:r>
      <w:r w:rsidR="00DB42B5" w:rsidRPr="00954142">
        <w:rPr>
          <w:rFonts w:cs="Times New Roman"/>
          <w:szCs w:val="22"/>
        </w:rPr>
        <w:t xml:space="preserve">A nivel de renglón, </w:t>
      </w:r>
      <w:r w:rsidR="00D10BD3" w:rsidRPr="00954142">
        <w:rPr>
          <w:rFonts w:cs="Times New Roman"/>
          <w:szCs w:val="22"/>
        </w:rPr>
        <w:t xml:space="preserve">la </w:t>
      </w:r>
      <w:r w:rsidR="00844A91" w:rsidRPr="00954142">
        <w:rPr>
          <w:rFonts w:cs="Times New Roman"/>
          <w:szCs w:val="22"/>
        </w:rPr>
        <w:t xml:space="preserve">mayoría de </w:t>
      </w:r>
      <w:r w:rsidR="00B86B82" w:rsidRPr="00954142">
        <w:rPr>
          <w:rFonts w:cs="Times New Roman"/>
          <w:szCs w:val="22"/>
        </w:rPr>
        <w:t>las compras</w:t>
      </w:r>
      <w:r w:rsidR="00844A91" w:rsidRPr="00954142">
        <w:rPr>
          <w:rFonts w:cs="Times New Roman"/>
          <w:szCs w:val="22"/>
        </w:rPr>
        <w:t xml:space="preserve"> se realiz</w:t>
      </w:r>
      <w:r w:rsidR="00E936F3">
        <w:rPr>
          <w:rFonts w:cs="Times New Roman"/>
          <w:szCs w:val="22"/>
        </w:rPr>
        <w:t>aron</w:t>
      </w:r>
      <w:r w:rsidR="00844A91" w:rsidRPr="00954142">
        <w:rPr>
          <w:rFonts w:cs="Times New Roman"/>
          <w:szCs w:val="22"/>
        </w:rPr>
        <w:t xml:space="preserve"> en </w:t>
      </w:r>
      <w:r w:rsidR="00041776" w:rsidRPr="00954142">
        <w:rPr>
          <w:rFonts w:cs="Times New Roman"/>
          <w:szCs w:val="22"/>
        </w:rPr>
        <w:t xml:space="preserve">equipo de </w:t>
      </w:r>
      <w:r w:rsidR="000A1A0B" w:rsidRPr="00954142">
        <w:rPr>
          <w:rFonts w:cs="Times New Roman"/>
          <w:szCs w:val="22"/>
        </w:rPr>
        <w:t>cómputo</w:t>
      </w:r>
      <w:r w:rsidR="00E936F3">
        <w:rPr>
          <w:rFonts w:cs="Times New Roman"/>
          <w:szCs w:val="22"/>
        </w:rPr>
        <w:t>,</w:t>
      </w:r>
      <w:r w:rsidR="00041776" w:rsidRPr="00954142">
        <w:rPr>
          <w:rFonts w:cs="Times New Roman"/>
          <w:szCs w:val="22"/>
        </w:rPr>
        <w:t xml:space="preserve"> </w:t>
      </w:r>
      <w:r w:rsidR="00E75F95" w:rsidRPr="00954142">
        <w:rPr>
          <w:rFonts w:cs="Times New Roman"/>
          <w:szCs w:val="22"/>
        </w:rPr>
        <w:t>teniendo una ejecución total de Q</w:t>
      </w:r>
      <w:r w:rsidR="00093705" w:rsidRPr="00954142">
        <w:rPr>
          <w:rFonts w:cs="Times New Roman"/>
          <w:szCs w:val="22"/>
        </w:rPr>
        <w:t>643</w:t>
      </w:r>
      <w:r w:rsidR="00E75F95" w:rsidRPr="00954142">
        <w:rPr>
          <w:rFonts w:cs="Times New Roman"/>
          <w:szCs w:val="22"/>
        </w:rPr>
        <w:t>.</w:t>
      </w:r>
      <w:r w:rsidR="00093705" w:rsidRPr="00954142">
        <w:rPr>
          <w:rFonts w:cs="Times New Roman"/>
          <w:szCs w:val="22"/>
        </w:rPr>
        <w:t>6</w:t>
      </w:r>
      <w:r w:rsidR="00E75F95" w:rsidRPr="00954142">
        <w:rPr>
          <w:rFonts w:cs="Times New Roman"/>
          <w:szCs w:val="22"/>
        </w:rPr>
        <w:t xml:space="preserve"> millones</w:t>
      </w:r>
      <w:r w:rsidR="007A6CD4" w:rsidRPr="00954142">
        <w:rPr>
          <w:rFonts w:cs="Times New Roman"/>
          <w:szCs w:val="22"/>
        </w:rPr>
        <w:t xml:space="preserve"> al finalizar el 2022</w:t>
      </w:r>
      <w:r w:rsidR="00E936F3">
        <w:rPr>
          <w:rFonts w:cs="Times New Roman"/>
          <w:szCs w:val="22"/>
        </w:rPr>
        <w:t>.</w:t>
      </w:r>
      <w:r w:rsidR="00093705" w:rsidRPr="00954142">
        <w:rPr>
          <w:rFonts w:cs="Times New Roman"/>
          <w:szCs w:val="22"/>
        </w:rPr>
        <w:t xml:space="preserve">  siendo superior en 141.7% (Q377.3 millones) a lo observado en 2021</w:t>
      </w:r>
      <w:r w:rsidR="001F265E" w:rsidRPr="00954142">
        <w:rPr>
          <w:rFonts w:cs="Times New Roman"/>
          <w:szCs w:val="22"/>
        </w:rPr>
        <w:t xml:space="preserve">. </w:t>
      </w:r>
    </w:p>
    <w:p w14:paraId="1243CA01" w14:textId="5257B82E" w:rsidR="004A1C73" w:rsidRPr="00954142" w:rsidRDefault="00EC6A25" w:rsidP="00CD34D6">
      <w:pPr>
        <w:rPr>
          <w:rFonts w:cs="Times New Roman"/>
          <w:szCs w:val="22"/>
        </w:rPr>
      </w:pPr>
      <w:r w:rsidRPr="00954142">
        <w:rPr>
          <w:rFonts w:cs="Times New Roman"/>
          <w:szCs w:val="22"/>
        </w:rPr>
        <w:t>E</w:t>
      </w:r>
      <w:r w:rsidR="009E79C9" w:rsidRPr="00954142">
        <w:rPr>
          <w:rFonts w:cs="Times New Roman"/>
          <w:szCs w:val="22"/>
        </w:rPr>
        <w:t xml:space="preserve">l resto de </w:t>
      </w:r>
      <w:r w:rsidRPr="00954142">
        <w:rPr>
          <w:rFonts w:cs="Times New Roman"/>
          <w:szCs w:val="22"/>
        </w:rPr>
        <w:t>las inversiones</w:t>
      </w:r>
      <w:r w:rsidR="00B86B82" w:rsidRPr="00954142">
        <w:rPr>
          <w:rFonts w:cs="Times New Roman"/>
          <w:szCs w:val="22"/>
        </w:rPr>
        <w:t xml:space="preserve"> en activos fijos</w:t>
      </w:r>
      <w:r w:rsidR="009E79C9" w:rsidRPr="00954142">
        <w:rPr>
          <w:rFonts w:cs="Times New Roman"/>
          <w:szCs w:val="22"/>
        </w:rPr>
        <w:t xml:space="preserve"> se produce por la adquisición de </w:t>
      </w:r>
      <w:r w:rsidR="004C3986" w:rsidRPr="00954142">
        <w:rPr>
          <w:rFonts w:cs="Times New Roman"/>
          <w:szCs w:val="22"/>
        </w:rPr>
        <w:t xml:space="preserve">sistemas de armamento por un valor de </w:t>
      </w:r>
      <w:r w:rsidR="00EA33EB" w:rsidRPr="00954142">
        <w:rPr>
          <w:rFonts w:cs="Times New Roman"/>
          <w:szCs w:val="22"/>
        </w:rPr>
        <w:t>Q</w:t>
      </w:r>
      <w:r w:rsidR="003F2F4E" w:rsidRPr="00954142">
        <w:rPr>
          <w:rFonts w:cs="Times New Roman"/>
          <w:szCs w:val="22"/>
        </w:rPr>
        <w:t>7</w:t>
      </w:r>
      <w:r w:rsidR="00AA3C6F" w:rsidRPr="00954142">
        <w:rPr>
          <w:rFonts w:cs="Times New Roman"/>
          <w:szCs w:val="22"/>
        </w:rPr>
        <w:t>.</w:t>
      </w:r>
      <w:r w:rsidR="003F2F4E" w:rsidRPr="00954142">
        <w:rPr>
          <w:rFonts w:cs="Times New Roman"/>
          <w:szCs w:val="22"/>
        </w:rPr>
        <w:t>3</w:t>
      </w:r>
      <w:r w:rsidR="00AA3C6F" w:rsidRPr="00954142">
        <w:rPr>
          <w:rFonts w:cs="Times New Roman"/>
          <w:szCs w:val="22"/>
        </w:rPr>
        <w:t xml:space="preserve"> millones y</w:t>
      </w:r>
      <w:r w:rsidR="00033E94" w:rsidRPr="00954142">
        <w:rPr>
          <w:rFonts w:cs="Times New Roman"/>
          <w:szCs w:val="22"/>
        </w:rPr>
        <w:t xml:space="preserve"> la categoría de otros activos fijos por un total de Q</w:t>
      </w:r>
      <w:r w:rsidR="00BB65B7" w:rsidRPr="00954142">
        <w:rPr>
          <w:rFonts w:cs="Times New Roman"/>
          <w:szCs w:val="22"/>
        </w:rPr>
        <w:t xml:space="preserve">5.1 millones. </w:t>
      </w:r>
      <w:r w:rsidR="005427DD" w:rsidRPr="00954142">
        <w:rPr>
          <w:rFonts w:cs="Times New Roman"/>
          <w:szCs w:val="22"/>
        </w:rPr>
        <w:t xml:space="preserve">Las demás adquisiciones en activos fijos se producen por un incremento </w:t>
      </w:r>
      <w:r w:rsidR="00EB7501" w:rsidRPr="00954142">
        <w:rPr>
          <w:rFonts w:cs="Times New Roman"/>
          <w:szCs w:val="22"/>
        </w:rPr>
        <w:t>en las variaciones de existencia por un total de Q210.5 millones, los activos no producidos por Q42.9 millones y</w:t>
      </w:r>
      <w:r w:rsidR="008B052D" w:rsidRPr="00954142">
        <w:rPr>
          <w:rFonts w:cs="Times New Roman"/>
          <w:szCs w:val="22"/>
        </w:rPr>
        <w:t xml:space="preserve"> objetos de valor por</w:t>
      </w:r>
      <w:r w:rsidR="00EB7501" w:rsidRPr="00954142">
        <w:rPr>
          <w:rFonts w:cs="Times New Roman"/>
          <w:szCs w:val="22"/>
        </w:rPr>
        <w:t xml:space="preserve"> </w:t>
      </w:r>
      <w:r w:rsidR="008B052D" w:rsidRPr="00954142">
        <w:rPr>
          <w:rFonts w:cs="Times New Roman"/>
          <w:szCs w:val="22"/>
        </w:rPr>
        <w:t>Q0.1millones.</w:t>
      </w:r>
    </w:p>
    <w:p w14:paraId="60675D19" w14:textId="16A352C7" w:rsidR="00A90ED3" w:rsidRPr="00954142" w:rsidRDefault="00A90ED3" w:rsidP="00CD34D6">
      <w:pPr>
        <w:rPr>
          <w:rFonts w:cs="Times New Roman"/>
          <w:szCs w:val="22"/>
        </w:rPr>
      </w:pPr>
      <w:r w:rsidRPr="00954142">
        <w:rPr>
          <w:rFonts w:cs="Times New Roman"/>
          <w:noProof/>
          <w:szCs w:val="22"/>
          <w:lang w:eastAsia="es-GT"/>
        </w:rPr>
        <w:drawing>
          <wp:inline distT="0" distB="0" distL="0" distR="0" wp14:anchorId="12AB5EFB" wp14:editId="35D602E2">
            <wp:extent cx="6011545" cy="3330054"/>
            <wp:effectExtent l="0" t="0" r="8255" b="38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2ADD9C0" w14:textId="77777777" w:rsidR="00B435E7" w:rsidRPr="00954142" w:rsidRDefault="001D54E4" w:rsidP="00C701B2">
      <w:pPr>
        <w:pStyle w:val="Ttulo1"/>
        <w:numPr>
          <w:ilvl w:val="0"/>
          <w:numId w:val="12"/>
        </w:numPr>
        <w:rPr>
          <w:lang w:val="es-MX"/>
        </w:rPr>
      </w:pPr>
      <w:bookmarkStart w:id="656" w:name="_Toc42023966"/>
      <w:bookmarkStart w:id="657" w:name="_Toc42024017"/>
      <w:bookmarkStart w:id="658" w:name="_Toc42023967"/>
      <w:bookmarkStart w:id="659" w:name="_Toc42024018"/>
      <w:bookmarkStart w:id="660" w:name="_Toc136437476"/>
      <w:bookmarkEnd w:id="656"/>
      <w:bookmarkEnd w:id="657"/>
      <w:bookmarkEnd w:id="658"/>
      <w:bookmarkEnd w:id="659"/>
      <w:r w:rsidRPr="00954142">
        <w:rPr>
          <w:lang w:val="es-MX"/>
        </w:rPr>
        <w:lastRenderedPageBreak/>
        <w:t>Financiamiento</w:t>
      </w:r>
      <w:bookmarkEnd w:id="660"/>
    </w:p>
    <w:p w14:paraId="52D94915" w14:textId="4D2CDA57" w:rsidR="00E44C78" w:rsidRPr="00954142" w:rsidRDefault="004165D6" w:rsidP="00E44C78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661" w:name="_Toc55374005"/>
      <w:bookmarkStart w:id="662" w:name="_Toc55375142"/>
      <w:bookmarkStart w:id="663" w:name="_Toc55396550"/>
      <w:bookmarkStart w:id="664" w:name="_Toc65230547"/>
      <w:bookmarkStart w:id="665" w:name="_Toc65230785"/>
      <w:bookmarkStart w:id="666" w:name="_Toc65232069"/>
      <w:bookmarkStart w:id="667" w:name="_Toc65232314"/>
      <w:bookmarkStart w:id="668" w:name="_Toc66716173"/>
      <w:bookmarkStart w:id="669" w:name="_Toc71097217"/>
      <w:bookmarkStart w:id="670" w:name="_Toc71097248"/>
      <w:bookmarkStart w:id="671" w:name="_Toc71097323"/>
      <w:bookmarkStart w:id="672" w:name="_Toc71108063"/>
      <w:bookmarkStart w:id="673" w:name="_Toc79055257"/>
      <w:bookmarkStart w:id="674" w:name="_Toc79055288"/>
      <w:bookmarkStart w:id="675" w:name="_Toc79060179"/>
      <w:bookmarkStart w:id="676" w:name="_Toc79060466"/>
      <w:bookmarkStart w:id="677" w:name="_Toc81307823"/>
      <w:bookmarkStart w:id="678" w:name="_Toc83376484"/>
      <w:bookmarkStart w:id="679" w:name="_Toc86386723"/>
      <w:bookmarkStart w:id="680" w:name="_Toc86405409"/>
      <w:bookmarkStart w:id="681" w:name="_Toc98162439"/>
      <w:bookmarkStart w:id="682" w:name="_Toc98162471"/>
      <w:bookmarkStart w:id="683" w:name="_Toc98234997"/>
      <w:bookmarkStart w:id="684" w:name="_Toc98235192"/>
      <w:bookmarkStart w:id="685" w:name="_Toc98235277"/>
      <w:bookmarkStart w:id="686" w:name="_Toc98757147"/>
      <w:bookmarkStart w:id="687" w:name="_Toc101874702"/>
      <w:bookmarkStart w:id="688" w:name="_Toc101954158"/>
      <w:bookmarkStart w:id="689" w:name="_Toc101971975"/>
      <w:bookmarkStart w:id="690" w:name="_Toc101974067"/>
      <w:bookmarkStart w:id="691" w:name="_Toc102039752"/>
      <w:bookmarkStart w:id="692" w:name="_Toc102039790"/>
      <w:bookmarkStart w:id="693" w:name="_Toc102039830"/>
      <w:bookmarkStart w:id="694" w:name="_Toc102039861"/>
      <w:bookmarkStart w:id="695" w:name="_Toc102040919"/>
      <w:bookmarkStart w:id="696" w:name="_Toc102477767"/>
      <w:bookmarkStart w:id="697" w:name="_Toc102477798"/>
      <w:bookmarkStart w:id="698" w:name="_Toc109824828"/>
      <w:bookmarkStart w:id="699" w:name="_Toc109828784"/>
      <w:bookmarkStart w:id="700" w:name="_Toc109828847"/>
      <w:bookmarkStart w:id="701" w:name="_Toc109829023"/>
      <w:bookmarkStart w:id="702" w:name="_Toc109829054"/>
      <w:bookmarkStart w:id="703" w:name="_Toc109833898"/>
      <w:bookmarkStart w:id="704" w:name="_Toc110237441"/>
      <w:bookmarkStart w:id="705" w:name="_Toc117775318"/>
      <w:bookmarkStart w:id="706" w:name="_Toc117781287"/>
      <w:bookmarkStart w:id="707" w:name="_Toc125620816"/>
      <w:bookmarkStart w:id="708" w:name="_Toc125620847"/>
      <w:bookmarkStart w:id="709" w:name="_Toc125620878"/>
      <w:bookmarkStart w:id="710" w:name="_Toc125620914"/>
      <w:bookmarkStart w:id="711" w:name="_Toc125620945"/>
      <w:bookmarkStart w:id="712" w:name="_Toc125620978"/>
      <w:bookmarkStart w:id="713" w:name="_Toc125621031"/>
      <w:bookmarkStart w:id="714" w:name="_Toc125621085"/>
      <w:bookmarkStart w:id="715" w:name="_Toc125623563"/>
      <w:bookmarkStart w:id="716" w:name="_Toc125623595"/>
      <w:bookmarkStart w:id="717" w:name="_Toc125623627"/>
      <w:bookmarkStart w:id="718" w:name="_Toc125970373"/>
      <w:bookmarkStart w:id="719" w:name="_Toc125970405"/>
      <w:bookmarkStart w:id="720" w:name="_Toc127365856"/>
      <w:bookmarkStart w:id="721" w:name="_Toc127434607"/>
      <w:bookmarkStart w:id="722" w:name="_Toc127436975"/>
      <w:bookmarkStart w:id="723" w:name="_Toc127437336"/>
      <w:bookmarkStart w:id="724" w:name="_Toc127437691"/>
      <w:bookmarkStart w:id="725" w:name="_Toc136437477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r>
        <w:rPr>
          <w:rFonts w:cs="Times New Roman"/>
          <w:sz w:val="22"/>
          <w:szCs w:val="22"/>
        </w:rPr>
        <w:t>Reducción en</w:t>
      </w:r>
      <w:r w:rsidRPr="00954142">
        <w:rPr>
          <w:rFonts w:cs="Times New Roman"/>
          <w:sz w:val="22"/>
          <w:szCs w:val="22"/>
        </w:rPr>
        <w:t xml:space="preserve"> </w:t>
      </w:r>
      <w:r w:rsidR="00A173A5" w:rsidRPr="00954142">
        <w:rPr>
          <w:rFonts w:cs="Times New Roman"/>
          <w:sz w:val="22"/>
          <w:szCs w:val="22"/>
        </w:rPr>
        <w:t>los</w:t>
      </w:r>
      <w:r w:rsidR="007B70FB" w:rsidRPr="00954142">
        <w:rPr>
          <w:rFonts w:cs="Times New Roman"/>
          <w:sz w:val="22"/>
          <w:szCs w:val="22"/>
        </w:rPr>
        <w:t xml:space="preserve"> activos financieros</w:t>
      </w:r>
      <w:r w:rsidR="008773A4" w:rsidRPr="00954142">
        <w:rPr>
          <w:rFonts w:cs="Times New Roman"/>
          <w:sz w:val="22"/>
          <w:szCs w:val="22"/>
        </w:rPr>
        <w:t>.</w:t>
      </w:r>
      <w:bookmarkEnd w:id="725"/>
    </w:p>
    <w:p w14:paraId="79FDDCFC" w14:textId="2FFBC8D8" w:rsidR="00E44C78" w:rsidRPr="00954142" w:rsidRDefault="00225D19" w:rsidP="004579E2">
      <w:r w:rsidRPr="00954142">
        <w:t>Los activos financieros</w:t>
      </w:r>
      <w:r w:rsidR="00984150" w:rsidRPr="00954142">
        <w:t xml:space="preserve"> del gobierno general</w:t>
      </w:r>
      <w:r w:rsidRPr="00954142">
        <w:t xml:space="preserve"> en 2022 se redujeron en Q</w:t>
      </w:r>
      <w:r w:rsidR="00251AA1">
        <w:t>504</w:t>
      </w:r>
      <w:r w:rsidRPr="00954142">
        <w:t>.</w:t>
      </w:r>
      <w:r w:rsidR="0009238C">
        <w:t>0</w:t>
      </w:r>
      <w:r w:rsidRPr="00954142">
        <w:t xml:space="preserve"> millones</w:t>
      </w:r>
      <w:r w:rsidR="00984150" w:rsidRPr="00954142">
        <w:t xml:space="preserve">, esto derivado de la </w:t>
      </w:r>
      <w:r w:rsidR="004165D6">
        <w:t xml:space="preserve">disminución </w:t>
      </w:r>
      <w:r w:rsidR="00570392" w:rsidRPr="00954142">
        <w:t>de los</w:t>
      </w:r>
      <w:r w:rsidR="00055725" w:rsidRPr="00954142">
        <w:t xml:space="preserve"> activos en forma de</w:t>
      </w:r>
      <w:r w:rsidR="00570392" w:rsidRPr="00954142">
        <w:t xml:space="preserve"> billetes, monedas y depósitos (caja y bancos) en Q</w:t>
      </w:r>
      <w:r w:rsidR="0009238C">
        <w:t>2,822</w:t>
      </w:r>
      <w:r w:rsidR="00570392" w:rsidRPr="00954142">
        <w:t>.</w:t>
      </w:r>
      <w:r w:rsidR="0009238C">
        <w:t>0</w:t>
      </w:r>
      <w:r w:rsidR="00570392" w:rsidRPr="00954142">
        <w:t xml:space="preserve"> millones</w:t>
      </w:r>
      <w:r w:rsidR="004165D6">
        <w:t>.  Asimismo, disminuyeron</w:t>
      </w:r>
      <w:r w:rsidR="00570392" w:rsidRPr="00954142">
        <w:t xml:space="preserve"> </w:t>
      </w:r>
      <w:r w:rsidR="00886B01" w:rsidRPr="00954142">
        <w:t xml:space="preserve">las cuentas por </w:t>
      </w:r>
      <w:r w:rsidR="00872621">
        <w:t>cobrar</w:t>
      </w:r>
      <w:r w:rsidR="00886B01" w:rsidRPr="00954142">
        <w:t xml:space="preserve"> en Q805.8 millones y los préstamos en Q100.4 millones</w:t>
      </w:r>
      <w:r w:rsidR="00B11D91">
        <w:t>,</w:t>
      </w:r>
      <w:r w:rsidR="00FE1481" w:rsidRPr="00954142">
        <w:t xml:space="preserve"> mientas que los títulos de deuda se incrementaron por Q3,218.3 millones</w:t>
      </w:r>
      <w:r w:rsidR="004165D6">
        <w:t>,</w:t>
      </w:r>
      <w:r w:rsidR="00FE1481" w:rsidRPr="00954142">
        <w:t xml:space="preserve"> al igual que las participaciones de capital y en fondos de inversión por Q5.8 millones</w:t>
      </w:r>
      <w:r w:rsidR="00777E22" w:rsidRPr="00954142">
        <w:t>.</w:t>
      </w:r>
    </w:p>
    <w:p w14:paraId="0D166D80" w14:textId="51650D70" w:rsidR="00470A42" w:rsidRPr="00954142" w:rsidRDefault="00470A42" w:rsidP="00B67B8F">
      <w:pPr>
        <w:spacing w:before="0" w:after="0"/>
        <w:jc w:val="center"/>
        <w:rPr>
          <w:b/>
          <w:bCs/>
          <w:sz w:val="22"/>
          <w:szCs w:val="22"/>
        </w:rPr>
      </w:pPr>
      <w:r w:rsidRPr="00954142">
        <w:rPr>
          <w:b/>
          <w:bCs/>
          <w:sz w:val="22"/>
          <w:szCs w:val="22"/>
        </w:rPr>
        <w:t xml:space="preserve">Incurrimiento neto de </w:t>
      </w:r>
      <w:r w:rsidR="00512290" w:rsidRPr="00954142">
        <w:rPr>
          <w:b/>
          <w:bCs/>
          <w:sz w:val="22"/>
          <w:szCs w:val="22"/>
        </w:rPr>
        <w:t>activos financieros</w:t>
      </w:r>
      <w:r w:rsidRPr="00954142">
        <w:rPr>
          <w:b/>
          <w:bCs/>
          <w:sz w:val="22"/>
          <w:szCs w:val="22"/>
        </w:rPr>
        <w:t xml:space="preserve"> </w:t>
      </w:r>
      <w:r w:rsidR="00FD7002" w:rsidRPr="00954142">
        <w:rPr>
          <w:b/>
          <w:bCs/>
          <w:sz w:val="22"/>
          <w:szCs w:val="22"/>
        </w:rPr>
        <w:t xml:space="preserve">a </w:t>
      </w:r>
      <w:r w:rsidR="004E4DFA" w:rsidRPr="00954142">
        <w:rPr>
          <w:b/>
          <w:bCs/>
          <w:sz w:val="22"/>
          <w:szCs w:val="22"/>
        </w:rPr>
        <w:t>diciembre</w:t>
      </w:r>
      <w:r w:rsidR="00FD7002" w:rsidRPr="00954142">
        <w:rPr>
          <w:b/>
          <w:bCs/>
          <w:sz w:val="22"/>
          <w:szCs w:val="22"/>
        </w:rPr>
        <w:t xml:space="preserve"> de </w:t>
      </w:r>
      <w:r w:rsidR="00ED71F1" w:rsidRPr="00954142">
        <w:rPr>
          <w:b/>
          <w:bCs/>
          <w:sz w:val="22"/>
          <w:szCs w:val="22"/>
        </w:rPr>
        <w:t>202</w:t>
      </w:r>
      <w:r w:rsidR="00BF1308" w:rsidRPr="00954142">
        <w:rPr>
          <w:b/>
          <w:bCs/>
          <w:sz w:val="22"/>
          <w:szCs w:val="22"/>
        </w:rPr>
        <w:t>2</w:t>
      </w:r>
      <w:r w:rsidRPr="00954142">
        <w:rPr>
          <w:b/>
          <w:bCs/>
          <w:sz w:val="22"/>
          <w:szCs w:val="22"/>
        </w:rPr>
        <w:t>*</w:t>
      </w:r>
    </w:p>
    <w:p w14:paraId="30738EC2" w14:textId="673DB11B" w:rsidR="00470A42" w:rsidRPr="00954142" w:rsidRDefault="00470A42" w:rsidP="00B67B8F">
      <w:pPr>
        <w:spacing w:before="0" w:after="0"/>
        <w:jc w:val="center"/>
        <w:rPr>
          <w:sz w:val="22"/>
          <w:szCs w:val="22"/>
        </w:rPr>
      </w:pPr>
      <w:r w:rsidRPr="00954142">
        <w:rPr>
          <w:sz w:val="22"/>
          <w:szCs w:val="22"/>
        </w:rPr>
        <w:t xml:space="preserve">En millones de </w:t>
      </w:r>
      <w:r w:rsidR="003D1F3C" w:rsidRPr="00954142">
        <w:rPr>
          <w:sz w:val="22"/>
          <w:szCs w:val="22"/>
        </w:rPr>
        <w:t>q</w:t>
      </w:r>
      <w:r w:rsidRPr="00954142">
        <w:rPr>
          <w:sz w:val="22"/>
          <w:szCs w:val="22"/>
        </w:rPr>
        <w:t>uetzales</w:t>
      </w:r>
    </w:p>
    <w:p w14:paraId="5C387859" w14:textId="317A2EED" w:rsidR="00731535" w:rsidRPr="00954142" w:rsidRDefault="0069746E" w:rsidP="00B67B8F">
      <w:pPr>
        <w:spacing w:before="0" w:after="0"/>
        <w:jc w:val="center"/>
      </w:pPr>
      <w:r w:rsidRPr="00954142">
        <w:rPr>
          <w:b/>
          <w:bCs/>
          <w:noProof/>
          <w:lang w:eastAsia="es-GT"/>
        </w:rPr>
        <w:drawing>
          <wp:inline distT="0" distB="0" distL="0" distR="0" wp14:anchorId="2AABB9F9" wp14:editId="170EED08">
            <wp:extent cx="3303905" cy="2172614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460403" w:rsidRPr="00954142">
        <w:rPr>
          <w:noProof/>
          <w:lang w:eastAsia="es-GT"/>
        </w:rPr>
        <w:drawing>
          <wp:inline distT="0" distB="0" distL="0" distR="0" wp14:anchorId="376DCB10" wp14:editId="0D41C2CE">
            <wp:extent cx="2209800" cy="20986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D6DE04B" w14:textId="5E1F03EF" w:rsidR="001E71BF" w:rsidRPr="00954142" w:rsidRDefault="001E71BF" w:rsidP="00B67B8F">
      <w:pPr>
        <w:spacing w:before="0" w:after="0"/>
        <w:rPr>
          <w:rFonts w:cs="Times New Roman"/>
          <w:sz w:val="16"/>
          <w:szCs w:val="22"/>
          <w:lang w:val="es-MX"/>
        </w:rPr>
      </w:pPr>
      <w:r w:rsidRPr="00954142">
        <w:rPr>
          <w:rFonts w:cs="Times New Roman"/>
          <w:sz w:val="16"/>
          <w:szCs w:val="22"/>
          <w:lang w:val="es-MX"/>
        </w:rPr>
        <w:t>*Cifras preliminares</w:t>
      </w:r>
      <w:r w:rsidR="00D87D24" w:rsidRPr="00954142">
        <w:rPr>
          <w:rFonts w:cs="Times New Roman"/>
          <w:sz w:val="16"/>
          <w:szCs w:val="22"/>
          <w:lang w:val="es-MX"/>
        </w:rPr>
        <w:tab/>
      </w:r>
    </w:p>
    <w:p w14:paraId="7B42A803" w14:textId="77777777" w:rsidR="001E71BF" w:rsidRPr="00954142" w:rsidRDefault="001E71BF" w:rsidP="00B67B8F">
      <w:pPr>
        <w:spacing w:before="0" w:after="0"/>
        <w:rPr>
          <w:rFonts w:cs="Times New Roman"/>
          <w:sz w:val="16"/>
          <w:szCs w:val="22"/>
          <w:lang w:val="es-MX"/>
        </w:rPr>
      </w:pPr>
      <w:r w:rsidRPr="00954142">
        <w:rPr>
          <w:rFonts w:cs="Times New Roman"/>
          <w:sz w:val="16"/>
          <w:szCs w:val="22"/>
          <w:lang w:val="es-MX"/>
        </w:rPr>
        <w:t>Fuente: MINFIN</w:t>
      </w:r>
    </w:p>
    <w:p w14:paraId="07A0FD2A" w14:textId="40FF19A1" w:rsidR="004165D6" w:rsidRDefault="004165D6" w:rsidP="00B67B8F">
      <w:pPr>
        <w:spacing w:before="0" w:after="0"/>
        <w:rPr>
          <w:rFonts w:cs="Times New Roman"/>
          <w:sz w:val="16"/>
          <w:szCs w:val="22"/>
          <w:lang w:val="es-MX"/>
        </w:rPr>
      </w:pPr>
    </w:p>
    <w:p w14:paraId="19F7C5EB" w14:textId="0E1144EC" w:rsidR="0079227F" w:rsidRPr="00954142" w:rsidRDefault="002A4680" w:rsidP="0039579C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726" w:name="_Toc136437478"/>
      <w:r w:rsidRPr="00954142">
        <w:rPr>
          <w:rFonts w:cs="Times New Roman"/>
          <w:sz w:val="22"/>
          <w:szCs w:val="22"/>
        </w:rPr>
        <w:t>Aumenta</w:t>
      </w:r>
      <w:r w:rsidR="004165D6">
        <w:rPr>
          <w:rFonts w:cs="Times New Roman"/>
          <w:sz w:val="22"/>
          <w:szCs w:val="22"/>
        </w:rPr>
        <w:t xml:space="preserve"> el incurrimiento de</w:t>
      </w:r>
      <w:r w:rsidRPr="00954142">
        <w:rPr>
          <w:rFonts w:cs="Times New Roman"/>
          <w:sz w:val="22"/>
          <w:szCs w:val="22"/>
        </w:rPr>
        <w:t xml:space="preserve"> pasivos</w:t>
      </w:r>
      <w:bookmarkEnd w:id="726"/>
    </w:p>
    <w:p w14:paraId="5457DA79" w14:textId="4EAFA369" w:rsidR="00B30207" w:rsidRPr="00954142" w:rsidRDefault="003824AD" w:rsidP="004579E2">
      <w:r w:rsidRPr="00954142">
        <w:t>E</w:t>
      </w:r>
      <w:r w:rsidR="00C8626D" w:rsidRPr="00954142">
        <w:t>n materia de pasivos</w:t>
      </w:r>
      <w:r w:rsidRPr="00954142">
        <w:t>,</w:t>
      </w:r>
      <w:r w:rsidR="00C8626D" w:rsidRPr="00954142">
        <w:t xml:space="preserve"> durante el 2022 estos aumentaron en Q7,509.5 </w:t>
      </w:r>
      <w:r w:rsidR="00A14DFE" w:rsidRPr="00954142">
        <w:t>millones</w:t>
      </w:r>
      <w:r w:rsidR="006C6BE6">
        <w:t xml:space="preserve"> y e</w:t>
      </w:r>
      <w:r w:rsidR="005D4733" w:rsidRPr="00954142">
        <w:t>n términos del PIB,</w:t>
      </w:r>
      <w:r w:rsidR="00A14DFE" w:rsidRPr="00954142">
        <w:t xml:space="preserve"> es</w:t>
      </w:r>
      <w:r w:rsidR="006C6BE6">
        <w:t>to</w:t>
      </w:r>
      <w:r w:rsidR="00A14DFE" w:rsidRPr="00954142">
        <w:t xml:space="preserve"> </w:t>
      </w:r>
      <w:r w:rsidR="006C6BE6">
        <w:t xml:space="preserve">es </w:t>
      </w:r>
      <w:r w:rsidR="00A14DFE" w:rsidRPr="00954142">
        <w:t xml:space="preserve">el equivalente al </w:t>
      </w:r>
      <w:r w:rsidR="0052526E" w:rsidRPr="00954142">
        <w:t>1.0% del PIB</w:t>
      </w:r>
      <w:r w:rsidR="006C6BE6">
        <w:t xml:space="preserve"> a lo cual cabe mencionar que </w:t>
      </w:r>
      <w:r w:rsidR="002334A9">
        <w:t>el aumento es</w:t>
      </w:r>
      <w:r w:rsidR="00DE5EE7" w:rsidRPr="00954142">
        <w:t xml:space="preserve"> menor por 1.8 puntos porcentuales respecto al</w:t>
      </w:r>
      <w:r w:rsidR="002334A9">
        <w:t xml:space="preserve"> </w:t>
      </w:r>
      <w:r w:rsidR="00DE5EE7" w:rsidRPr="00954142">
        <w:t xml:space="preserve">2.8% del PIB </w:t>
      </w:r>
      <w:r w:rsidR="002334A9">
        <w:t xml:space="preserve">que se observó </w:t>
      </w:r>
      <w:r w:rsidR="00DE5EE7" w:rsidRPr="00954142">
        <w:t xml:space="preserve">en 2021. </w:t>
      </w:r>
    </w:p>
    <w:p w14:paraId="194C61AE" w14:textId="47AF1856" w:rsidR="00DE5EE7" w:rsidRPr="00954142" w:rsidRDefault="007067B3" w:rsidP="004579E2">
      <w:r w:rsidRPr="00954142">
        <w:t xml:space="preserve">El instrumento financiero que </w:t>
      </w:r>
      <w:r w:rsidR="003761DC" w:rsidRPr="00954142">
        <w:t>tuvo un mayor incremento fueron los títulos de deuda</w:t>
      </w:r>
      <w:r w:rsidR="004165D6">
        <w:t>, aumentando</w:t>
      </w:r>
      <w:r w:rsidR="003761DC" w:rsidRPr="00954142">
        <w:t xml:space="preserve"> Q</w:t>
      </w:r>
      <w:r w:rsidR="000F118F">
        <w:t>5,520</w:t>
      </w:r>
      <w:r w:rsidR="003761DC" w:rsidRPr="00954142">
        <w:t>.</w:t>
      </w:r>
      <w:r w:rsidR="00831698">
        <w:t>0</w:t>
      </w:r>
      <w:r w:rsidR="003761DC" w:rsidRPr="00954142">
        <w:t xml:space="preserve"> millones</w:t>
      </w:r>
      <w:r w:rsidR="004165D6">
        <w:t>,</w:t>
      </w:r>
      <w:r w:rsidR="00695BFF" w:rsidRPr="00954142">
        <w:t xml:space="preserve"> seguido de los préstamos por Q1,</w:t>
      </w:r>
      <w:r w:rsidR="00831698">
        <w:t>511</w:t>
      </w:r>
      <w:r w:rsidR="00695BFF" w:rsidRPr="00954142">
        <w:t>.</w:t>
      </w:r>
      <w:r w:rsidR="00831698">
        <w:t>1</w:t>
      </w:r>
      <w:r w:rsidR="00695BFF" w:rsidRPr="00954142">
        <w:t xml:space="preserve"> millones y las otras cuentas por pagar por Q</w:t>
      </w:r>
      <w:r w:rsidR="00831698">
        <w:t>478</w:t>
      </w:r>
      <w:r w:rsidR="00695BFF" w:rsidRPr="00954142">
        <w:t>.</w:t>
      </w:r>
      <w:r w:rsidR="00E6607C">
        <w:t>4</w:t>
      </w:r>
      <w:r w:rsidR="00695BFF" w:rsidRPr="00954142">
        <w:t xml:space="preserve"> millones.</w:t>
      </w:r>
    </w:p>
    <w:tbl>
      <w:tblPr>
        <w:tblStyle w:val="Tablaconcuadrcula"/>
        <w:tblW w:w="93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0"/>
        <w:gridCol w:w="3746"/>
      </w:tblGrid>
      <w:tr w:rsidR="0061446B" w:rsidRPr="00954142" w14:paraId="170F85A0" w14:textId="77777777" w:rsidTr="004579E2">
        <w:trPr>
          <w:trHeight w:val="11"/>
          <w:jc w:val="center"/>
        </w:trPr>
        <w:tc>
          <w:tcPr>
            <w:tcW w:w="9396" w:type="dxa"/>
            <w:gridSpan w:val="2"/>
          </w:tcPr>
          <w:p w14:paraId="53CD2781" w14:textId="5E8B819E" w:rsidR="0061446B" w:rsidRPr="00954142" w:rsidRDefault="0061446B" w:rsidP="00526FB8">
            <w:pPr>
              <w:spacing w:before="0" w:after="0"/>
              <w:jc w:val="center"/>
              <w:rPr>
                <w:b/>
                <w:bCs/>
              </w:rPr>
            </w:pPr>
            <w:r w:rsidRPr="00954142">
              <w:rPr>
                <w:b/>
                <w:bCs/>
              </w:rPr>
              <w:t>Incurrimiento neto de pasivos</w:t>
            </w:r>
            <w:r w:rsidR="009D176B" w:rsidRPr="00954142">
              <w:rPr>
                <w:b/>
                <w:bCs/>
              </w:rPr>
              <w:t xml:space="preserve"> </w:t>
            </w:r>
            <w:r w:rsidR="00B435E7" w:rsidRPr="00954142">
              <w:rPr>
                <w:b/>
                <w:bCs/>
              </w:rPr>
              <w:t xml:space="preserve">a </w:t>
            </w:r>
            <w:r w:rsidR="00A8309B" w:rsidRPr="00954142">
              <w:rPr>
                <w:b/>
                <w:bCs/>
              </w:rPr>
              <w:t>diciembre</w:t>
            </w:r>
            <w:r w:rsidR="00B435E7" w:rsidRPr="00954142">
              <w:rPr>
                <w:b/>
                <w:bCs/>
              </w:rPr>
              <w:t xml:space="preserve"> de </w:t>
            </w:r>
            <w:r w:rsidR="009D176B" w:rsidRPr="00954142">
              <w:rPr>
                <w:b/>
                <w:bCs/>
              </w:rPr>
              <w:t>202</w:t>
            </w:r>
            <w:r w:rsidR="00BF1308" w:rsidRPr="00954142">
              <w:rPr>
                <w:b/>
                <w:bCs/>
              </w:rPr>
              <w:t>2</w:t>
            </w:r>
            <w:r w:rsidR="009D176B" w:rsidRPr="00954142">
              <w:rPr>
                <w:b/>
                <w:bCs/>
              </w:rPr>
              <w:t>*</w:t>
            </w:r>
          </w:p>
          <w:p w14:paraId="0071567C" w14:textId="7C84D8B8" w:rsidR="0061446B" w:rsidRPr="00954142" w:rsidRDefault="0061446B" w:rsidP="00526FB8">
            <w:pPr>
              <w:spacing w:before="0" w:after="0"/>
              <w:jc w:val="center"/>
            </w:pPr>
            <w:r w:rsidRPr="00954142">
              <w:rPr>
                <w:szCs w:val="22"/>
              </w:rPr>
              <w:t xml:space="preserve">En </w:t>
            </w:r>
            <w:r w:rsidR="006535F3" w:rsidRPr="00954142">
              <w:rPr>
                <w:szCs w:val="22"/>
              </w:rPr>
              <w:t>millones</w:t>
            </w:r>
            <w:r w:rsidRPr="00954142">
              <w:rPr>
                <w:szCs w:val="22"/>
              </w:rPr>
              <w:t xml:space="preserve"> de Quetzales</w:t>
            </w:r>
          </w:p>
        </w:tc>
      </w:tr>
      <w:tr w:rsidR="00D36792" w:rsidRPr="00954142" w14:paraId="2690E1D3" w14:textId="77777777" w:rsidTr="004579E2">
        <w:trPr>
          <w:trHeight w:val="157"/>
          <w:jc w:val="center"/>
        </w:trPr>
        <w:tc>
          <w:tcPr>
            <w:tcW w:w="5650" w:type="dxa"/>
            <w:shd w:val="clear" w:color="auto" w:fill="auto"/>
          </w:tcPr>
          <w:p w14:paraId="38032EE6" w14:textId="4645D7B5" w:rsidR="00F674B9" w:rsidRPr="00954142" w:rsidRDefault="00D34AFD" w:rsidP="004579E2">
            <w:pPr>
              <w:spacing w:before="0"/>
            </w:pPr>
            <w:r w:rsidRPr="00954142">
              <w:rPr>
                <w:b/>
                <w:bCs/>
                <w:noProof/>
                <w:lang w:eastAsia="es-GT"/>
              </w:rPr>
              <w:drawing>
                <wp:inline distT="0" distB="0" distL="0" distR="0" wp14:anchorId="00712202" wp14:editId="1B3D1EA6">
                  <wp:extent cx="3578860" cy="2098072"/>
                  <wp:effectExtent l="0" t="0" r="2540" b="0"/>
                  <wp:docPr id="964173153" name="Gráfico 9641731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3746" w:type="dxa"/>
          </w:tcPr>
          <w:p w14:paraId="6D2B05F8" w14:textId="3F5AD2E5" w:rsidR="00F674B9" w:rsidRPr="00954142" w:rsidRDefault="00A8309B" w:rsidP="00757491">
            <w:pPr>
              <w:spacing w:before="0" w:after="0"/>
              <w:ind w:right="-183"/>
            </w:pPr>
            <w:r w:rsidRPr="00954142">
              <w:rPr>
                <w:noProof/>
                <w:lang w:eastAsia="es-GT"/>
              </w:rPr>
              <w:drawing>
                <wp:inline distT="0" distB="0" distL="0" distR="0" wp14:anchorId="1A595F87" wp14:editId="7347AC15">
                  <wp:extent cx="2317750" cy="2070023"/>
                  <wp:effectExtent l="0" t="0" r="6350" b="6985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9472CA" w:rsidRPr="00954142" w14:paraId="1A0ADA1E" w14:textId="77777777" w:rsidTr="004579E2">
        <w:trPr>
          <w:trHeight w:val="157"/>
          <w:jc w:val="center"/>
        </w:trPr>
        <w:tc>
          <w:tcPr>
            <w:tcW w:w="5650" w:type="dxa"/>
            <w:shd w:val="clear" w:color="auto" w:fill="auto"/>
          </w:tcPr>
          <w:p w14:paraId="2D5E61AE" w14:textId="77777777" w:rsidR="009472CA" w:rsidRPr="00954142" w:rsidRDefault="009472CA" w:rsidP="009472CA">
            <w:pPr>
              <w:spacing w:before="0" w:after="0"/>
              <w:rPr>
                <w:rFonts w:cs="Times New Roman"/>
                <w:sz w:val="16"/>
                <w:szCs w:val="22"/>
                <w:lang w:val="es-MX"/>
              </w:rPr>
            </w:pPr>
            <w:r w:rsidRPr="00954142">
              <w:rPr>
                <w:rFonts w:cs="Times New Roman"/>
                <w:sz w:val="16"/>
                <w:szCs w:val="22"/>
                <w:lang w:val="es-MX"/>
              </w:rPr>
              <w:t>*Cifras preliminares</w:t>
            </w:r>
            <w:r w:rsidRPr="00954142">
              <w:rPr>
                <w:rFonts w:cs="Times New Roman"/>
                <w:sz w:val="16"/>
                <w:szCs w:val="22"/>
                <w:lang w:val="es-MX"/>
              </w:rPr>
              <w:tab/>
            </w:r>
          </w:p>
          <w:p w14:paraId="359064DF" w14:textId="0FF8F741" w:rsidR="009472CA" w:rsidRPr="00954142" w:rsidRDefault="009472CA" w:rsidP="009472CA">
            <w:pPr>
              <w:spacing w:before="0" w:after="0"/>
              <w:rPr>
                <w:rFonts w:cs="Times New Roman"/>
                <w:sz w:val="16"/>
                <w:szCs w:val="22"/>
                <w:lang w:val="es-MX"/>
              </w:rPr>
            </w:pPr>
            <w:r w:rsidRPr="00954142">
              <w:rPr>
                <w:rFonts w:cs="Times New Roman"/>
                <w:sz w:val="16"/>
                <w:szCs w:val="22"/>
                <w:lang w:val="es-MX"/>
              </w:rPr>
              <w:t>Fuente: MINFIN</w:t>
            </w:r>
          </w:p>
        </w:tc>
        <w:tc>
          <w:tcPr>
            <w:tcW w:w="3746" w:type="dxa"/>
          </w:tcPr>
          <w:p w14:paraId="7F7A8345" w14:textId="77777777" w:rsidR="009472CA" w:rsidRPr="00954142" w:rsidRDefault="009472CA" w:rsidP="004579E2">
            <w:pPr>
              <w:spacing w:before="0"/>
              <w:ind w:right="-183"/>
              <w:rPr>
                <w:noProof/>
                <w:lang w:eastAsia="es-GT"/>
              </w:rPr>
            </w:pPr>
          </w:p>
        </w:tc>
      </w:tr>
    </w:tbl>
    <w:p w14:paraId="1F341054" w14:textId="2EB509CA" w:rsidR="00F4077C" w:rsidRPr="00954142" w:rsidRDefault="00F4077C" w:rsidP="000A1A0B">
      <w:pPr>
        <w:pStyle w:val="Ttulo1"/>
        <w:numPr>
          <w:ilvl w:val="0"/>
          <w:numId w:val="12"/>
        </w:numPr>
        <w:rPr>
          <w:lang w:val="es-ES_tradnl" w:eastAsia="es-ES"/>
        </w:rPr>
      </w:pPr>
      <w:bookmarkStart w:id="727" w:name="_Toc42023970"/>
      <w:bookmarkStart w:id="728" w:name="_Toc42024021"/>
      <w:bookmarkStart w:id="729" w:name="_Toc42023971"/>
      <w:bookmarkStart w:id="730" w:name="_Toc42024022"/>
      <w:bookmarkStart w:id="731" w:name="_Toc42023972"/>
      <w:bookmarkStart w:id="732" w:name="_Toc42024023"/>
      <w:bookmarkStart w:id="733" w:name="_Toc42023973"/>
      <w:bookmarkStart w:id="734" w:name="_Toc42024024"/>
      <w:bookmarkStart w:id="735" w:name="_Toc136437479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r w:rsidRPr="00954142">
        <w:rPr>
          <w:lang w:val="es-MX"/>
        </w:rPr>
        <w:lastRenderedPageBreak/>
        <w:t>Erogaciones</w:t>
      </w:r>
      <w:r w:rsidR="00B50E45" w:rsidRPr="00954142">
        <w:rPr>
          <w:lang w:val="es-ES_tradnl" w:eastAsia="es-ES"/>
        </w:rPr>
        <w:t xml:space="preserve"> </w:t>
      </w:r>
      <w:r w:rsidR="00ED6F84">
        <w:rPr>
          <w:lang w:val="es-ES_tradnl" w:eastAsia="es-ES"/>
        </w:rPr>
        <w:t>por funciones de gobierno</w:t>
      </w:r>
      <w:bookmarkEnd w:id="735"/>
    </w:p>
    <w:p w14:paraId="17E5690A" w14:textId="6A68CC7A" w:rsidR="000F19C1" w:rsidRPr="00954142" w:rsidRDefault="000F19C1" w:rsidP="00101051">
      <w:pPr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736" w:name="_Toc42023975"/>
      <w:bookmarkStart w:id="737" w:name="_Toc42024026"/>
      <w:bookmarkStart w:id="738" w:name="_Toc42069116"/>
      <w:bookmarkStart w:id="739" w:name="_Toc49422062"/>
      <w:bookmarkStart w:id="740" w:name="_Toc49422088"/>
      <w:bookmarkStart w:id="741" w:name="_Toc49430667"/>
      <w:bookmarkStart w:id="742" w:name="_Toc49430693"/>
      <w:bookmarkStart w:id="743" w:name="_Toc49750470"/>
      <w:bookmarkStart w:id="744" w:name="_Toc49750720"/>
      <w:bookmarkStart w:id="745" w:name="_Toc49750748"/>
      <w:bookmarkStart w:id="746" w:name="_Toc55284834"/>
      <w:bookmarkStart w:id="747" w:name="_Toc55298852"/>
      <w:bookmarkStart w:id="748" w:name="_Toc55373835"/>
      <w:bookmarkStart w:id="749" w:name="_Toc55374009"/>
      <w:bookmarkStart w:id="750" w:name="_Toc55375146"/>
      <w:bookmarkStart w:id="751" w:name="_Toc55396554"/>
      <w:bookmarkStart w:id="752" w:name="_Toc65230551"/>
      <w:bookmarkStart w:id="753" w:name="_Toc65230789"/>
      <w:bookmarkStart w:id="754" w:name="_Toc65232073"/>
      <w:bookmarkStart w:id="755" w:name="_Toc65232318"/>
      <w:bookmarkStart w:id="756" w:name="_Toc66716177"/>
      <w:bookmarkStart w:id="757" w:name="_Toc71097221"/>
      <w:bookmarkStart w:id="758" w:name="_Toc71097252"/>
      <w:bookmarkStart w:id="759" w:name="_Toc71097327"/>
      <w:bookmarkStart w:id="760" w:name="_Toc71108067"/>
      <w:bookmarkStart w:id="761" w:name="_Toc79055261"/>
      <w:bookmarkStart w:id="762" w:name="_Toc79055292"/>
      <w:bookmarkStart w:id="763" w:name="_Toc79060183"/>
      <w:bookmarkStart w:id="764" w:name="_Toc79060470"/>
      <w:bookmarkStart w:id="765" w:name="_Toc81307827"/>
      <w:bookmarkStart w:id="766" w:name="_Toc83376488"/>
      <w:bookmarkStart w:id="767" w:name="_Toc86386727"/>
      <w:bookmarkStart w:id="768" w:name="_Toc86405413"/>
      <w:bookmarkStart w:id="769" w:name="_Toc98162443"/>
      <w:bookmarkStart w:id="770" w:name="_Toc98162475"/>
      <w:bookmarkStart w:id="771" w:name="_Toc98235001"/>
      <w:bookmarkStart w:id="772" w:name="_Toc98235196"/>
      <w:bookmarkStart w:id="773" w:name="_Toc98235281"/>
      <w:bookmarkStart w:id="774" w:name="_Toc98757151"/>
      <w:bookmarkStart w:id="775" w:name="_Toc101874706"/>
      <w:bookmarkStart w:id="776" w:name="_Toc101954162"/>
      <w:bookmarkStart w:id="777" w:name="_Toc101971979"/>
      <w:bookmarkStart w:id="778" w:name="_Toc101974071"/>
      <w:bookmarkStart w:id="779" w:name="_Toc102039756"/>
      <w:bookmarkStart w:id="780" w:name="_Toc102039794"/>
      <w:bookmarkStart w:id="781" w:name="_Toc102039834"/>
      <w:bookmarkStart w:id="782" w:name="_Toc102039865"/>
      <w:bookmarkStart w:id="783" w:name="_Toc102040923"/>
      <w:bookmarkStart w:id="784" w:name="_Toc102477771"/>
      <w:bookmarkStart w:id="785" w:name="_Toc102477802"/>
      <w:bookmarkStart w:id="786" w:name="_Toc109824832"/>
      <w:bookmarkStart w:id="787" w:name="_Toc109828788"/>
      <w:bookmarkStart w:id="788" w:name="_Toc109828851"/>
      <w:bookmarkStart w:id="789" w:name="_Toc109829027"/>
      <w:bookmarkStart w:id="790" w:name="_Toc109829058"/>
      <w:bookmarkStart w:id="791" w:name="_Toc109833902"/>
      <w:bookmarkStart w:id="792" w:name="_Toc110237445"/>
      <w:bookmarkStart w:id="793" w:name="_Toc117775322"/>
      <w:bookmarkStart w:id="794" w:name="_Toc117781291"/>
      <w:bookmarkStart w:id="795" w:name="_Toc125620819"/>
      <w:bookmarkStart w:id="796" w:name="_Toc125620850"/>
      <w:bookmarkStart w:id="797" w:name="_Toc125620881"/>
      <w:bookmarkStart w:id="798" w:name="_Toc125620917"/>
      <w:bookmarkStart w:id="799" w:name="_Toc125620948"/>
      <w:bookmarkStart w:id="800" w:name="_Toc125620982"/>
      <w:bookmarkStart w:id="801" w:name="_Toc125621035"/>
      <w:bookmarkStart w:id="802" w:name="_Toc125621089"/>
      <w:bookmarkStart w:id="803" w:name="_Toc125623567"/>
      <w:bookmarkStart w:id="804" w:name="_Toc125623599"/>
      <w:bookmarkStart w:id="805" w:name="_Toc125623631"/>
      <w:bookmarkStart w:id="806" w:name="_Toc125970377"/>
      <w:bookmarkStart w:id="807" w:name="_Toc125970409"/>
      <w:bookmarkStart w:id="808" w:name="_Toc127365860"/>
      <w:bookmarkStart w:id="809" w:name="_Toc127434611"/>
      <w:bookmarkStart w:id="810" w:name="_Toc127436979"/>
      <w:bookmarkStart w:id="811" w:name="_Toc127437340"/>
      <w:bookmarkStart w:id="812" w:name="_Toc12743769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</w:p>
    <w:p w14:paraId="56FB527D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813" w:name="_Toc55374010"/>
      <w:bookmarkStart w:id="814" w:name="_Toc55375147"/>
      <w:bookmarkStart w:id="815" w:name="_Toc55396555"/>
      <w:bookmarkStart w:id="816" w:name="_Toc65230552"/>
      <w:bookmarkStart w:id="817" w:name="_Toc65230790"/>
      <w:bookmarkStart w:id="818" w:name="_Toc65232074"/>
      <w:bookmarkStart w:id="819" w:name="_Toc65232319"/>
      <w:bookmarkStart w:id="820" w:name="_Toc66716178"/>
      <w:bookmarkStart w:id="821" w:name="_Toc71097222"/>
      <w:bookmarkStart w:id="822" w:name="_Toc71097253"/>
      <w:bookmarkStart w:id="823" w:name="_Toc71097328"/>
      <w:bookmarkStart w:id="824" w:name="_Toc71108068"/>
      <w:bookmarkStart w:id="825" w:name="_Toc79055262"/>
      <w:bookmarkStart w:id="826" w:name="_Toc79055293"/>
      <w:bookmarkStart w:id="827" w:name="_Toc79060184"/>
      <w:bookmarkStart w:id="828" w:name="_Toc79060471"/>
      <w:bookmarkStart w:id="829" w:name="_Toc81307828"/>
      <w:bookmarkStart w:id="830" w:name="_Toc83376489"/>
      <w:bookmarkStart w:id="831" w:name="_Toc86386728"/>
      <w:bookmarkStart w:id="832" w:name="_Toc86405414"/>
      <w:bookmarkStart w:id="833" w:name="_Toc98162444"/>
      <w:bookmarkStart w:id="834" w:name="_Toc98162476"/>
      <w:bookmarkStart w:id="835" w:name="_Toc98235002"/>
      <w:bookmarkStart w:id="836" w:name="_Toc98235197"/>
      <w:bookmarkStart w:id="837" w:name="_Toc98235282"/>
      <w:bookmarkStart w:id="838" w:name="_Toc98757152"/>
      <w:bookmarkStart w:id="839" w:name="_Toc101874707"/>
      <w:bookmarkStart w:id="840" w:name="_Toc101954163"/>
      <w:bookmarkStart w:id="841" w:name="_Toc101971980"/>
      <w:bookmarkStart w:id="842" w:name="_Toc101974072"/>
      <w:bookmarkStart w:id="843" w:name="_Toc102039757"/>
      <w:bookmarkStart w:id="844" w:name="_Toc102039795"/>
      <w:bookmarkStart w:id="845" w:name="_Toc102039835"/>
      <w:bookmarkStart w:id="846" w:name="_Toc102039866"/>
      <w:bookmarkStart w:id="847" w:name="_Toc102040924"/>
      <w:bookmarkStart w:id="848" w:name="_Toc102477772"/>
      <w:bookmarkStart w:id="849" w:name="_Toc102477803"/>
      <w:bookmarkStart w:id="850" w:name="_Toc109824833"/>
      <w:bookmarkStart w:id="851" w:name="_Toc109828789"/>
      <w:bookmarkStart w:id="852" w:name="_Toc109828852"/>
      <w:bookmarkStart w:id="853" w:name="_Toc109829028"/>
      <w:bookmarkStart w:id="854" w:name="_Toc109829059"/>
      <w:bookmarkStart w:id="855" w:name="_Toc109833903"/>
      <w:bookmarkStart w:id="856" w:name="_Toc110237446"/>
      <w:bookmarkStart w:id="857" w:name="_Toc117775323"/>
      <w:bookmarkStart w:id="858" w:name="_Toc117781292"/>
      <w:bookmarkStart w:id="859" w:name="_Toc125620820"/>
      <w:bookmarkStart w:id="860" w:name="_Toc125620851"/>
      <w:bookmarkStart w:id="861" w:name="_Toc125620882"/>
      <w:bookmarkStart w:id="862" w:name="_Toc125620918"/>
      <w:bookmarkStart w:id="863" w:name="_Toc125620949"/>
      <w:bookmarkStart w:id="864" w:name="_Toc125620983"/>
      <w:bookmarkStart w:id="865" w:name="_Toc125621036"/>
      <w:bookmarkStart w:id="866" w:name="_Toc125621090"/>
      <w:bookmarkStart w:id="867" w:name="_Toc125623568"/>
      <w:bookmarkStart w:id="868" w:name="_Toc125623600"/>
      <w:bookmarkStart w:id="869" w:name="_Toc125623632"/>
      <w:bookmarkStart w:id="870" w:name="_Toc125970378"/>
      <w:bookmarkStart w:id="871" w:name="_Toc125970410"/>
      <w:bookmarkStart w:id="872" w:name="_Toc127365861"/>
      <w:bookmarkStart w:id="873" w:name="_Toc127434612"/>
      <w:bookmarkStart w:id="874" w:name="_Toc127436980"/>
      <w:bookmarkStart w:id="875" w:name="_Toc127437341"/>
      <w:bookmarkStart w:id="876" w:name="_Toc127437696"/>
      <w:bookmarkStart w:id="877" w:name="_Toc135128850"/>
      <w:bookmarkStart w:id="878" w:name="_Toc135128883"/>
      <w:bookmarkStart w:id="879" w:name="_Toc135133723"/>
      <w:bookmarkStart w:id="880" w:name="_Toc135143060"/>
      <w:bookmarkStart w:id="881" w:name="_Toc136437145"/>
      <w:bookmarkStart w:id="882" w:name="_Toc136437178"/>
      <w:bookmarkStart w:id="883" w:name="_Toc136437205"/>
      <w:bookmarkStart w:id="884" w:name="_Toc136437233"/>
      <w:bookmarkStart w:id="885" w:name="_Toc136437480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</w:p>
    <w:p w14:paraId="0298658C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886" w:name="_Toc55374011"/>
      <w:bookmarkStart w:id="887" w:name="_Toc55375148"/>
      <w:bookmarkStart w:id="888" w:name="_Toc55396556"/>
      <w:bookmarkStart w:id="889" w:name="_Toc65230553"/>
      <w:bookmarkStart w:id="890" w:name="_Toc65230791"/>
      <w:bookmarkStart w:id="891" w:name="_Toc65232075"/>
      <w:bookmarkStart w:id="892" w:name="_Toc65232320"/>
      <w:bookmarkStart w:id="893" w:name="_Toc66716179"/>
      <w:bookmarkStart w:id="894" w:name="_Toc71097223"/>
      <w:bookmarkStart w:id="895" w:name="_Toc71097254"/>
      <w:bookmarkStart w:id="896" w:name="_Toc71097329"/>
      <w:bookmarkStart w:id="897" w:name="_Toc71108069"/>
      <w:bookmarkStart w:id="898" w:name="_Toc79055263"/>
      <w:bookmarkStart w:id="899" w:name="_Toc79055294"/>
      <w:bookmarkStart w:id="900" w:name="_Toc79060185"/>
      <w:bookmarkStart w:id="901" w:name="_Toc79060472"/>
      <w:bookmarkStart w:id="902" w:name="_Toc81307829"/>
      <w:bookmarkStart w:id="903" w:name="_Toc83376490"/>
      <w:bookmarkStart w:id="904" w:name="_Toc86386729"/>
      <w:bookmarkStart w:id="905" w:name="_Toc86405415"/>
      <w:bookmarkStart w:id="906" w:name="_Toc98162445"/>
      <w:bookmarkStart w:id="907" w:name="_Toc98162477"/>
      <w:bookmarkStart w:id="908" w:name="_Toc98235003"/>
      <w:bookmarkStart w:id="909" w:name="_Toc98235198"/>
      <w:bookmarkStart w:id="910" w:name="_Toc98235283"/>
      <w:bookmarkStart w:id="911" w:name="_Toc98757153"/>
      <w:bookmarkStart w:id="912" w:name="_Toc101874708"/>
      <w:bookmarkStart w:id="913" w:name="_Toc101954164"/>
      <w:bookmarkStart w:id="914" w:name="_Toc101971981"/>
      <w:bookmarkStart w:id="915" w:name="_Toc101974073"/>
      <w:bookmarkStart w:id="916" w:name="_Toc102039758"/>
      <w:bookmarkStart w:id="917" w:name="_Toc102039796"/>
      <w:bookmarkStart w:id="918" w:name="_Toc102039836"/>
      <w:bookmarkStart w:id="919" w:name="_Toc102039867"/>
      <w:bookmarkStart w:id="920" w:name="_Toc102040925"/>
      <w:bookmarkStart w:id="921" w:name="_Toc102477773"/>
      <w:bookmarkStart w:id="922" w:name="_Toc102477804"/>
      <w:bookmarkStart w:id="923" w:name="_Toc109824834"/>
      <w:bookmarkStart w:id="924" w:name="_Toc109828790"/>
      <w:bookmarkStart w:id="925" w:name="_Toc109828853"/>
      <w:bookmarkStart w:id="926" w:name="_Toc109829029"/>
      <w:bookmarkStart w:id="927" w:name="_Toc109829060"/>
      <w:bookmarkStart w:id="928" w:name="_Toc109833904"/>
      <w:bookmarkStart w:id="929" w:name="_Toc110237447"/>
      <w:bookmarkStart w:id="930" w:name="_Toc117775324"/>
      <w:bookmarkStart w:id="931" w:name="_Toc117781293"/>
      <w:bookmarkStart w:id="932" w:name="_Toc125620821"/>
      <w:bookmarkStart w:id="933" w:name="_Toc125620852"/>
      <w:bookmarkStart w:id="934" w:name="_Toc125620883"/>
      <w:bookmarkStart w:id="935" w:name="_Toc125620919"/>
      <w:bookmarkStart w:id="936" w:name="_Toc125620950"/>
      <w:bookmarkStart w:id="937" w:name="_Toc125620984"/>
      <w:bookmarkStart w:id="938" w:name="_Toc125621037"/>
      <w:bookmarkStart w:id="939" w:name="_Toc125621091"/>
      <w:bookmarkStart w:id="940" w:name="_Toc125623569"/>
      <w:bookmarkStart w:id="941" w:name="_Toc125623601"/>
      <w:bookmarkStart w:id="942" w:name="_Toc125623633"/>
      <w:bookmarkStart w:id="943" w:name="_Toc125970379"/>
      <w:bookmarkStart w:id="944" w:name="_Toc125970411"/>
      <w:bookmarkStart w:id="945" w:name="_Toc127365862"/>
      <w:bookmarkStart w:id="946" w:name="_Toc127434613"/>
      <w:bookmarkStart w:id="947" w:name="_Toc127436981"/>
      <w:bookmarkStart w:id="948" w:name="_Toc127437342"/>
      <w:bookmarkStart w:id="949" w:name="_Toc127437697"/>
      <w:bookmarkStart w:id="950" w:name="_Toc135128851"/>
      <w:bookmarkStart w:id="951" w:name="_Toc135128884"/>
      <w:bookmarkStart w:id="952" w:name="_Toc135133724"/>
      <w:bookmarkStart w:id="953" w:name="_Toc135143061"/>
      <w:bookmarkStart w:id="954" w:name="_Toc136437146"/>
      <w:bookmarkStart w:id="955" w:name="_Toc136437179"/>
      <w:bookmarkStart w:id="956" w:name="_Toc136437206"/>
      <w:bookmarkStart w:id="957" w:name="_Toc136437234"/>
      <w:bookmarkStart w:id="958" w:name="_Toc136437481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2B7C610F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959" w:name="_Toc55374012"/>
      <w:bookmarkStart w:id="960" w:name="_Toc55375149"/>
      <w:bookmarkStart w:id="961" w:name="_Toc55396557"/>
      <w:bookmarkStart w:id="962" w:name="_Toc65230554"/>
      <w:bookmarkStart w:id="963" w:name="_Toc65230792"/>
      <w:bookmarkStart w:id="964" w:name="_Toc65232076"/>
      <w:bookmarkStart w:id="965" w:name="_Toc65232321"/>
      <w:bookmarkStart w:id="966" w:name="_Toc66716180"/>
      <w:bookmarkStart w:id="967" w:name="_Toc71097224"/>
      <w:bookmarkStart w:id="968" w:name="_Toc71097255"/>
      <w:bookmarkStart w:id="969" w:name="_Toc71097330"/>
      <w:bookmarkStart w:id="970" w:name="_Toc71108070"/>
      <w:bookmarkStart w:id="971" w:name="_Toc79055264"/>
      <w:bookmarkStart w:id="972" w:name="_Toc79055295"/>
      <w:bookmarkStart w:id="973" w:name="_Toc79060186"/>
      <w:bookmarkStart w:id="974" w:name="_Toc79060473"/>
      <w:bookmarkStart w:id="975" w:name="_Toc81307830"/>
      <w:bookmarkStart w:id="976" w:name="_Toc83376491"/>
      <w:bookmarkStart w:id="977" w:name="_Toc86386730"/>
      <w:bookmarkStart w:id="978" w:name="_Toc86405416"/>
      <w:bookmarkStart w:id="979" w:name="_Toc98162446"/>
      <w:bookmarkStart w:id="980" w:name="_Toc98162478"/>
      <w:bookmarkStart w:id="981" w:name="_Toc98235004"/>
      <w:bookmarkStart w:id="982" w:name="_Toc98235199"/>
      <w:bookmarkStart w:id="983" w:name="_Toc98235284"/>
      <w:bookmarkStart w:id="984" w:name="_Toc98757154"/>
      <w:bookmarkStart w:id="985" w:name="_Toc101874709"/>
      <w:bookmarkStart w:id="986" w:name="_Toc101954165"/>
      <w:bookmarkStart w:id="987" w:name="_Toc101971982"/>
      <w:bookmarkStart w:id="988" w:name="_Toc101974074"/>
      <w:bookmarkStart w:id="989" w:name="_Toc102039759"/>
      <w:bookmarkStart w:id="990" w:name="_Toc102039797"/>
      <w:bookmarkStart w:id="991" w:name="_Toc102039837"/>
      <w:bookmarkStart w:id="992" w:name="_Toc102039868"/>
      <w:bookmarkStart w:id="993" w:name="_Toc102040926"/>
      <w:bookmarkStart w:id="994" w:name="_Toc102477774"/>
      <w:bookmarkStart w:id="995" w:name="_Toc102477805"/>
      <w:bookmarkStart w:id="996" w:name="_Toc109824835"/>
      <w:bookmarkStart w:id="997" w:name="_Toc109828791"/>
      <w:bookmarkStart w:id="998" w:name="_Toc109828854"/>
      <w:bookmarkStart w:id="999" w:name="_Toc109829030"/>
      <w:bookmarkStart w:id="1000" w:name="_Toc109829061"/>
      <w:bookmarkStart w:id="1001" w:name="_Toc109833905"/>
      <w:bookmarkStart w:id="1002" w:name="_Toc110237448"/>
      <w:bookmarkStart w:id="1003" w:name="_Toc117775325"/>
      <w:bookmarkStart w:id="1004" w:name="_Toc117781294"/>
      <w:bookmarkStart w:id="1005" w:name="_Toc125620822"/>
      <w:bookmarkStart w:id="1006" w:name="_Toc125620853"/>
      <w:bookmarkStart w:id="1007" w:name="_Toc125620884"/>
      <w:bookmarkStart w:id="1008" w:name="_Toc125620920"/>
      <w:bookmarkStart w:id="1009" w:name="_Toc125620951"/>
      <w:bookmarkStart w:id="1010" w:name="_Toc125620985"/>
      <w:bookmarkStart w:id="1011" w:name="_Toc125621038"/>
      <w:bookmarkStart w:id="1012" w:name="_Toc125621092"/>
      <w:bookmarkStart w:id="1013" w:name="_Toc125623570"/>
      <w:bookmarkStart w:id="1014" w:name="_Toc125623602"/>
      <w:bookmarkStart w:id="1015" w:name="_Toc125623634"/>
      <w:bookmarkStart w:id="1016" w:name="_Toc125970380"/>
      <w:bookmarkStart w:id="1017" w:name="_Toc125970412"/>
      <w:bookmarkStart w:id="1018" w:name="_Toc127365863"/>
      <w:bookmarkStart w:id="1019" w:name="_Toc127434614"/>
      <w:bookmarkStart w:id="1020" w:name="_Toc127436982"/>
      <w:bookmarkStart w:id="1021" w:name="_Toc127437343"/>
      <w:bookmarkStart w:id="1022" w:name="_Toc127437698"/>
      <w:bookmarkStart w:id="1023" w:name="_Toc135128852"/>
      <w:bookmarkStart w:id="1024" w:name="_Toc135128885"/>
      <w:bookmarkStart w:id="1025" w:name="_Toc135133725"/>
      <w:bookmarkStart w:id="1026" w:name="_Toc135143062"/>
      <w:bookmarkStart w:id="1027" w:name="_Toc136437147"/>
      <w:bookmarkStart w:id="1028" w:name="_Toc136437180"/>
      <w:bookmarkStart w:id="1029" w:name="_Toc136437207"/>
      <w:bookmarkStart w:id="1030" w:name="_Toc136437235"/>
      <w:bookmarkStart w:id="1031" w:name="_Toc136437482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14:paraId="5DA454F1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1032" w:name="_Toc55374013"/>
      <w:bookmarkStart w:id="1033" w:name="_Toc55375150"/>
      <w:bookmarkStart w:id="1034" w:name="_Toc55396558"/>
      <w:bookmarkStart w:id="1035" w:name="_Toc65230555"/>
      <w:bookmarkStart w:id="1036" w:name="_Toc65230793"/>
      <w:bookmarkStart w:id="1037" w:name="_Toc65232077"/>
      <w:bookmarkStart w:id="1038" w:name="_Toc65232322"/>
      <w:bookmarkStart w:id="1039" w:name="_Toc66716181"/>
      <w:bookmarkStart w:id="1040" w:name="_Toc71097225"/>
      <w:bookmarkStart w:id="1041" w:name="_Toc71097256"/>
      <w:bookmarkStart w:id="1042" w:name="_Toc71097331"/>
      <w:bookmarkStart w:id="1043" w:name="_Toc71108071"/>
      <w:bookmarkStart w:id="1044" w:name="_Toc79055265"/>
      <w:bookmarkStart w:id="1045" w:name="_Toc79055296"/>
      <w:bookmarkStart w:id="1046" w:name="_Toc79060187"/>
      <w:bookmarkStart w:id="1047" w:name="_Toc79060474"/>
      <w:bookmarkStart w:id="1048" w:name="_Toc81307831"/>
      <w:bookmarkStart w:id="1049" w:name="_Toc83376492"/>
      <w:bookmarkStart w:id="1050" w:name="_Toc86386731"/>
      <w:bookmarkStart w:id="1051" w:name="_Toc86405417"/>
      <w:bookmarkStart w:id="1052" w:name="_Toc98162447"/>
      <w:bookmarkStart w:id="1053" w:name="_Toc98162479"/>
      <w:bookmarkStart w:id="1054" w:name="_Toc98235005"/>
      <w:bookmarkStart w:id="1055" w:name="_Toc98235200"/>
      <w:bookmarkStart w:id="1056" w:name="_Toc98235285"/>
      <w:bookmarkStart w:id="1057" w:name="_Toc98757155"/>
      <w:bookmarkStart w:id="1058" w:name="_Toc101874710"/>
      <w:bookmarkStart w:id="1059" w:name="_Toc101954166"/>
      <w:bookmarkStart w:id="1060" w:name="_Toc101971983"/>
      <w:bookmarkStart w:id="1061" w:name="_Toc101974075"/>
      <w:bookmarkStart w:id="1062" w:name="_Toc102039760"/>
      <w:bookmarkStart w:id="1063" w:name="_Toc102039798"/>
      <w:bookmarkStart w:id="1064" w:name="_Toc102039838"/>
      <w:bookmarkStart w:id="1065" w:name="_Toc102039869"/>
      <w:bookmarkStart w:id="1066" w:name="_Toc102040927"/>
      <w:bookmarkStart w:id="1067" w:name="_Toc102477775"/>
      <w:bookmarkStart w:id="1068" w:name="_Toc102477806"/>
      <w:bookmarkStart w:id="1069" w:name="_Toc109824836"/>
      <w:bookmarkStart w:id="1070" w:name="_Toc109828792"/>
      <w:bookmarkStart w:id="1071" w:name="_Toc109828855"/>
      <w:bookmarkStart w:id="1072" w:name="_Toc109829031"/>
      <w:bookmarkStart w:id="1073" w:name="_Toc109829062"/>
      <w:bookmarkStart w:id="1074" w:name="_Toc109833906"/>
      <w:bookmarkStart w:id="1075" w:name="_Toc110237449"/>
      <w:bookmarkStart w:id="1076" w:name="_Toc117775326"/>
      <w:bookmarkStart w:id="1077" w:name="_Toc117781295"/>
      <w:bookmarkStart w:id="1078" w:name="_Toc125620823"/>
      <w:bookmarkStart w:id="1079" w:name="_Toc125620854"/>
      <w:bookmarkStart w:id="1080" w:name="_Toc125620885"/>
      <w:bookmarkStart w:id="1081" w:name="_Toc125620921"/>
      <w:bookmarkStart w:id="1082" w:name="_Toc125620952"/>
      <w:bookmarkStart w:id="1083" w:name="_Toc125620986"/>
      <w:bookmarkStart w:id="1084" w:name="_Toc125621039"/>
      <w:bookmarkStart w:id="1085" w:name="_Toc125621093"/>
      <w:bookmarkStart w:id="1086" w:name="_Toc125623571"/>
      <w:bookmarkStart w:id="1087" w:name="_Toc125623603"/>
      <w:bookmarkStart w:id="1088" w:name="_Toc125623635"/>
      <w:bookmarkStart w:id="1089" w:name="_Toc125970381"/>
      <w:bookmarkStart w:id="1090" w:name="_Toc125970413"/>
      <w:bookmarkStart w:id="1091" w:name="_Toc127365864"/>
      <w:bookmarkStart w:id="1092" w:name="_Toc127434615"/>
      <w:bookmarkStart w:id="1093" w:name="_Toc127436983"/>
      <w:bookmarkStart w:id="1094" w:name="_Toc127437344"/>
      <w:bookmarkStart w:id="1095" w:name="_Toc127437699"/>
      <w:bookmarkStart w:id="1096" w:name="_Toc135128853"/>
      <w:bookmarkStart w:id="1097" w:name="_Toc135128886"/>
      <w:bookmarkStart w:id="1098" w:name="_Toc135133726"/>
      <w:bookmarkStart w:id="1099" w:name="_Toc135143063"/>
      <w:bookmarkStart w:id="1100" w:name="_Toc136437148"/>
      <w:bookmarkStart w:id="1101" w:name="_Toc136437181"/>
      <w:bookmarkStart w:id="1102" w:name="_Toc136437208"/>
      <w:bookmarkStart w:id="1103" w:name="_Toc136437236"/>
      <w:bookmarkStart w:id="1104" w:name="_Toc136437483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</w:p>
    <w:p w14:paraId="4545F53E" w14:textId="3554BFF5" w:rsidR="00490038" w:rsidRPr="00954142" w:rsidRDefault="00C23BDB" w:rsidP="00C56688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1105" w:name="_Toc55374014"/>
      <w:bookmarkStart w:id="1106" w:name="_Toc55375151"/>
      <w:bookmarkStart w:id="1107" w:name="_Toc55396559"/>
      <w:bookmarkStart w:id="1108" w:name="_Toc65230556"/>
      <w:bookmarkStart w:id="1109" w:name="_Toc65230794"/>
      <w:bookmarkStart w:id="1110" w:name="_Toc65232078"/>
      <w:bookmarkStart w:id="1111" w:name="_Toc65232323"/>
      <w:bookmarkStart w:id="1112" w:name="_Toc66716182"/>
      <w:bookmarkStart w:id="1113" w:name="_Toc71097226"/>
      <w:bookmarkStart w:id="1114" w:name="_Toc71097257"/>
      <w:bookmarkStart w:id="1115" w:name="_Toc71097332"/>
      <w:bookmarkStart w:id="1116" w:name="_Toc71108072"/>
      <w:bookmarkStart w:id="1117" w:name="_Toc79055266"/>
      <w:bookmarkStart w:id="1118" w:name="_Toc79055297"/>
      <w:bookmarkStart w:id="1119" w:name="_Toc79060188"/>
      <w:bookmarkStart w:id="1120" w:name="_Toc79060475"/>
      <w:bookmarkStart w:id="1121" w:name="_Toc81307832"/>
      <w:bookmarkStart w:id="1122" w:name="_Toc83376493"/>
      <w:bookmarkStart w:id="1123" w:name="_Toc86386732"/>
      <w:bookmarkStart w:id="1124" w:name="_Toc86405418"/>
      <w:bookmarkStart w:id="1125" w:name="_Toc98162448"/>
      <w:bookmarkStart w:id="1126" w:name="_Toc98162480"/>
      <w:bookmarkStart w:id="1127" w:name="_Toc98235006"/>
      <w:bookmarkStart w:id="1128" w:name="_Toc98235201"/>
      <w:bookmarkStart w:id="1129" w:name="_Toc98235286"/>
      <w:bookmarkStart w:id="1130" w:name="_Toc98757156"/>
      <w:bookmarkStart w:id="1131" w:name="_Toc101874711"/>
      <w:bookmarkStart w:id="1132" w:name="_Toc101954167"/>
      <w:bookmarkStart w:id="1133" w:name="_Toc101971984"/>
      <w:bookmarkStart w:id="1134" w:name="_Toc101974076"/>
      <w:bookmarkStart w:id="1135" w:name="_Toc102039761"/>
      <w:bookmarkStart w:id="1136" w:name="_Toc102039799"/>
      <w:bookmarkStart w:id="1137" w:name="_Toc102039839"/>
      <w:bookmarkStart w:id="1138" w:name="_Toc102039870"/>
      <w:bookmarkStart w:id="1139" w:name="_Toc102040928"/>
      <w:bookmarkStart w:id="1140" w:name="_Toc102477776"/>
      <w:bookmarkStart w:id="1141" w:name="_Toc102477807"/>
      <w:bookmarkStart w:id="1142" w:name="_Toc109824837"/>
      <w:bookmarkStart w:id="1143" w:name="_Toc109828793"/>
      <w:bookmarkStart w:id="1144" w:name="_Toc109828856"/>
      <w:bookmarkStart w:id="1145" w:name="_Toc109829032"/>
      <w:bookmarkStart w:id="1146" w:name="_Toc109829063"/>
      <w:bookmarkStart w:id="1147" w:name="_Toc109833907"/>
      <w:bookmarkStart w:id="1148" w:name="_Toc110237450"/>
      <w:bookmarkStart w:id="1149" w:name="_Toc117775327"/>
      <w:bookmarkStart w:id="1150" w:name="_Toc117781296"/>
      <w:bookmarkStart w:id="1151" w:name="_Toc125620824"/>
      <w:bookmarkStart w:id="1152" w:name="_Toc125620855"/>
      <w:bookmarkStart w:id="1153" w:name="_Toc125620886"/>
      <w:bookmarkStart w:id="1154" w:name="_Toc125620922"/>
      <w:bookmarkStart w:id="1155" w:name="_Toc125620953"/>
      <w:bookmarkStart w:id="1156" w:name="_Toc125620987"/>
      <w:bookmarkStart w:id="1157" w:name="_Toc125621040"/>
      <w:bookmarkStart w:id="1158" w:name="_Toc125621094"/>
      <w:bookmarkStart w:id="1159" w:name="_Toc125623572"/>
      <w:bookmarkStart w:id="1160" w:name="_Toc125623604"/>
      <w:bookmarkStart w:id="1161" w:name="_Toc125623636"/>
      <w:bookmarkStart w:id="1162" w:name="_Toc125970382"/>
      <w:bookmarkStart w:id="1163" w:name="_Toc125970414"/>
      <w:bookmarkStart w:id="1164" w:name="_Toc127365865"/>
      <w:bookmarkStart w:id="1165" w:name="_Toc127434616"/>
      <w:bookmarkStart w:id="1166" w:name="_Toc127436984"/>
      <w:bookmarkStart w:id="1167" w:name="_Toc127437345"/>
      <w:bookmarkStart w:id="1168" w:name="_Toc127437700"/>
      <w:bookmarkStart w:id="1169" w:name="_Toc13643748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r w:rsidRPr="00954142">
        <w:rPr>
          <w:rFonts w:cs="Times New Roman"/>
          <w:sz w:val="22"/>
          <w:szCs w:val="22"/>
        </w:rPr>
        <w:t xml:space="preserve">Las erogaciones </w:t>
      </w:r>
      <w:r w:rsidR="001E47B8">
        <w:rPr>
          <w:rFonts w:cs="Times New Roman"/>
          <w:sz w:val="22"/>
          <w:szCs w:val="22"/>
        </w:rPr>
        <w:t>en</w:t>
      </w:r>
      <w:r w:rsidRPr="00954142">
        <w:rPr>
          <w:rFonts w:cs="Times New Roman"/>
          <w:sz w:val="22"/>
          <w:szCs w:val="22"/>
        </w:rPr>
        <w:t xml:space="preserve"> asuntos económicos y </w:t>
      </w:r>
      <w:r w:rsidR="00060E42">
        <w:rPr>
          <w:rFonts w:cs="Times New Roman"/>
          <w:sz w:val="22"/>
          <w:szCs w:val="22"/>
        </w:rPr>
        <w:t xml:space="preserve">protección social </w:t>
      </w:r>
      <w:r w:rsidR="001E47B8">
        <w:rPr>
          <w:rFonts w:cs="Times New Roman"/>
          <w:sz w:val="22"/>
          <w:szCs w:val="22"/>
        </w:rPr>
        <w:t>fueron las mas dinámicas</w:t>
      </w:r>
      <w:bookmarkEnd w:id="1169"/>
    </w:p>
    <w:p w14:paraId="09E64999" w14:textId="73E66F7F" w:rsidR="006E4C77" w:rsidRPr="00954142" w:rsidRDefault="00101051" w:rsidP="000A1A0B">
      <w:pPr>
        <w:rPr>
          <w:rFonts w:cs="Times New Roman"/>
        </w:rPr>
      </w:pPr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89988" behindDoc="0" locked="0" layoutInCell="1" allowOverlap="1" wp14:anchorId="256174D2" wp14:editId="2483BECB">
            <wp:simplePos x="0" y="0"/>
            <wp:positionH relativeFrom="margin">
              <wp:posOffset>2896870</wp:posOffset>
            </wp:positionH>
            <wp:positionV relativeFrom="paragraph">
              <wp:posOffset>85090</wp:posOffset>
            </wp:positionV>
            <wp:extent cx="3094990" cy="1464945"/>
            <wp:effectExtent l="57150" t="38100" r="105410" b="97155"/>
            <wp:wrapSquare wrapText="bothSides"/>
            <wp:docPr id="1937780073" name="Diagrama 19377800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15" w:rsidRPr="00954142">
        <w:rPr>
          <w:rFonts w:cs="Times New Roman"/>
        </w:rPr>
        <w:t>Las erogaciones del</w:t>
      </w:r>
      <w:r w:rsidR="006F3389" w:rsidRPr="00954142">
        <w:rPr>
          <w:rFonts w:cs="Times New Roman"/>
        </w:rPr>
        <w:t xml:space="preserve"> </w:t>
      </w:r>
      <w:r w:rsidR="00573015" w:rsidRPr="00954142">
        <w:rPr>
          <w:rFonts w:cs="Times New Roman"/>
        </w:rPr>
        <w:t>g</w:t>
      </w:r>
      <w:r w:rsidR="006F3389" w:rsidRPr="00954142">
        <w:rPr>
          <w:rFonts w:cs="Times New Roman"/>
        </w:rPr>
        <w:t xml:space="preserve">obierno </w:t>
      </w:r>
      <w:r w:rsidR="00573015" w:rsidRPr="00954142">
        <w:rPr>
          <w:rFonts w:cs="Times New Roman"/>
        </w:rPr>
        <w:t>gener</w:t>
      </w:r>
      <w:r w:rsidR="006F3389" w:rsidRPr="00954142">
        <w:rPr>
          <w:rFonts w:cs="Times New Roman"/>
        </w:rPr>
        <w:t xml:space="preserve">al </w:t>
      </w:r>
      <w:r w:rsidR="00573015" w:rsidRPr="00954142">
        <w:rPr>
          <w:rFonts w:cs="Times New Roman"/>
        </w:rPr>
        <w:t xml:space="preserve">en 2022 fueron de </w:t>
      </w:r>
      <w:r w:rsidR="006F3389" w:rsidRPr="00954142">
        <w:rPr>
          <w:rFonts w:cs="Times New Roman"/>
        </w:rPr>
        <w:t>Q</w:t>
      </w:r>
      <w:r w:rsidR="005460C0" w:rsidRPr="00954142">
        <w:rPr>
          <w:rFonts w:cs="Times New Roman"/>
        </w:rPr>
        <w:t>127,89</w:t>
      </w:r>
      <w:r w:rsidR="007D6A55">
        <w:rPr>
          <w:rFonts w:cs="Times New Roman"/>
        </w:rPr>
        <w:t>0</w:t>
      </w:r>
      <w:r w:rsidR="005460C0" w:rsidRPr="00954142">
        <w:rPr>
          <w:rFonts w:cs="Times New Roman"/>
        </w:rPr>
        <w:t>.</w:t>
      </w:r>
      <w:r w:rsidR="00981980">
        <w:rPr>
          <w:rFonts w:cs="Times New Roman"/>
        </w:rPr>
        <w:t>6</w:t>
      </w:r>
      <w:r w:rsidR="005460C0" w:rsidRPr="00954142">
        <w:rPr>
          <w:rFonts w:cs="Times New Roman"/>
        </w:rPr>
        <w:t xml:space="preserve"> </w:t>
      </w:r>
      <w:r w:rsidR="006F3389" w:rsidRPr="00954142">
        <w:rPr>
          <w:rFonts w:cs="Times New Roman"/>
        </w:rPr>
        <w:t>millones</w:t>
      </w:r>
      <w:r w:rsidR="004165D6">
        <w:rPr>
          <w:rFonts w:cs="Times New Roman"/>
        </w:rPr>
        <w:t>,</w:t>
      </w:r>
      <w:r w:rsidR="00526FB8" w:rsidRPr="00954142">
        <w:rPr>
          <w:rFonts w:cs="Times New Roman"/>
        </w:rPr>
        <w:t xml:space="preserve"> </w:t>
      </w:r>
      <w:r w:rsidR="004165D6">
        <w:rPr>
          <w:rFonts w:cs="Times New Roman"/>
        </w:rPr>
        <w:t>mostrando</w:t>
      </w:r>
      <w:r w:rsidR="00526FB8" w:rsidRPr="00954142">
        <w:rPr>
          <w:rFonts w:cs="Times New Roman"/>
        </w:rPr>
        <w:t xml:space="preserve"> un </w:t>
      </w:r>
      <w:r w:rsidR="006F3389" w:rsidRPr="00954142">
        <w:rPr>
          <w:rFonts w:cs="Times New Roman"/>
        </w:rPr>
        <w:t>crecimiento de</w:t>
      </w:r>
      <w:r w:rsidR="00A543C3" w:rsidRPr="00954142">
        <w:rPr>
          <w:rFonts w:cs="Times New Roman"/>
        </w:rPr>
        <w:t>l</w:t>
      </w:r>
      <w:r w:rsidR="006F3389" w:rsidRPr="00954142">
        <w:rPr>
          <w:rFonts w:cs="Times New Roman"/>
        </w:rPr>
        <w:t xml:space="preserve"> 1</w:t>
      </w:r>
      <w:r w:rsidR="00A543C3" w:rsidRPr="00954142">
        <w:rPr>
          <w:rFonts w:cs="Times New Roman"/>
        </w:rPr>
        <w:t>4</w:t>
      </w:r>
      <w:r w:rsidR="006F3389" w:rsidRPr="00954142">
        <w:rPr>
          <w:rFonts w:cs="Times New Roman"/>
        </w:rPr>
        <w:t>.3% (Q</w:t>
      </w:r>
      <w:r w:rsidR="00A543C3" w:rsidRPr="00954142">
        <w:rPr>
          <w:rFonts w:cs="Times New Roman"/>
        </w:rPr>
        <w:t>16,0</w:t>
      </w:r>
      <w:r w:rsidR="00525EC3">
        <w:rPr>
          <w:rFonts w:cs="Times New Roman"/>
        </w:rPr>
        <w:t>19</w:t>
      </w:r>
      <w:r w:rsidR="00A543C3" w:rsidRPr="00954142">
        <w:rPr>
          <w:rFonts w:cs="Times New Roman"/>
        </w:rPr>
        <w:t>.</w:t>
      </w:r>
      <w:r w:rsidR="00525EC3">
        <w:rPr>
          <w:rFonts w:cs="Times New Roman"/>
        </w:rPr>
        <w:t>0</w:t>
      </w:r>
      <w:r w:rsidR="006F3389" w:rsidRPr="00954142">
        <w:rPr>
          <w:rFonts w:cs="Times New Roman"/>
        </w:rPr>
        <w:t xml:space="preserve"> millones)</w:t>
      </w:r>
      <w:r w:rsidR="00E14D82" w:rsidRPr="00954142">
        <w:rPr>
          <w:rFonts w:cs="Times New Roman"/>
        </w:rPr>
        <w:t xml:space="preserve"> </w:t>
      </w:r>
      <w:r w:rsidR="00E043E4" w:rsidRPr="00954142">
        <w:rPr>
          <w:rFonts w:cs="Times New Roman"/>
        </w:rPr>
        <w:t>respecto al año previo. E</w:t>
      </w:r>
      <w:r w:rsidR="00E14D82" w:rsidRPr="00954142">
        <w:rPr>
          <w:rFonts w:cs="Times New Roman"/>
        </w:rPr>
        <w:t>n términos del PIB</w:t>
      </w:r>
      <w:r w:rsidR="00E043E4" w:rsidRPr="00954142">
        <w:rPr>
          <w:rFonts w:cs="Times New Roman"/>
        </w:rPr>
        <w:t>,</w:t>
      </w:r>
      <w:r w:rsidR="00E14D82" w:rsidRPr="00954142">
        <w:rPr>
          <w:rFonts w:cs="Times New Roman"/>
        </w:rPr>
        <w:t xml:space="preserve"> </w:t>
      </w:r>
      <w:r w:rsidR="00E043E4" w:rsidRPr="00954142">
        <w:rPr>
          <w:rFonts w:cs="Times New Roman"/>
        </w:rPr>
        <w:t xml:space="preserve">equivale al </w:t>
      </w:r>
      <w:r w:rsidR="00E14D82" w:rsidRPr="00954142">
        <w:rPr>
          <w:rFonts w:cs="Times New Roman"/>
        </w:rPr>
        <w:t>17</w:t>
      </w:r>
      <w:r w:rsidR="00CF3CCA" w:rsidRPr="00954142">
        <w:rPr>
          <w:rFonts w:cs="Times New Roman"/>
        </w:rPr>
        <w:t>.4</w:t>
      </w:r>
      <w:r w:rsidR="00E14D82" w:rsidRPr="00954142">
        <w:rPr>
          <w:rFonts w:cs="Times New Roman"/>
        </w:rPr>
        <w:t>%</w:t>
      </w:r>
      <w:r w:rsidR="004165D6">
        <w:rPr>
          <w:rFonts w:cs="Times New Roman"/>
        </w:rPr>
        <w:t>,</w:t>
      </w:r>
      <w:r w:rsidR="00CF3CCA" w:rsidRPr="00954142">
        <w:rPr>
          <w:rFonts w:cs="Times New Roman"/>
        </w:rPr>
        <w:t xml:space="preserve"> siendo superior en 0.6 puntos porcentuales al </w:t>
      </w:r>
      <w:r w:rsidR="006E4C77" w:rsidRPr="00954142">
        <w:rPr>
          <w:rFonts w:cs="Times New Roman"/>
        </w:rPr>
        <w:t xml:space="preserve">16.8% </w:t>
      </w:r>
      <w:r w:rsidR="001A3C9A" w:rsidRPr="00954142">
        <w:rPr>
          <w:rFonts w:cs="Times New Roman"/>
        </w:rPr>
        <w:t>observado en</w:t>
      </w:r>
      <w:r w:rsidR="006E4C77" w:rsidRPr="00954142">
        <w:rPr>
          <w:rFonts w:cs="Times New Roman"/>
        </w:rPr>
        <w:t xml:space="preserve"> 2021</w:t>
      </w:r>
      <w:r w:rsidR="006F3389" w:rsidRPr="00954142">
        <w:rPr>
          <w:rFonts w:cs="Times New Roman"/>
        </w:rPr>
        <w:t>.</w:t>
      </w:r>
    </w:p>
    <w:p w14:paraId="4AFE3484" w14:textId="6FC346AE" w:rsidR="006F3389" w:rsidRPr="00954142" w:rsidRDefault="006E4C77" w:rsidP="000A1A0B">
      <w:pPr>
        <w:rPr>
          <w:rFonts w:cs="Times New Roman"/>
        </w:rPr>
      </w:pPr>
      <w:r w:rsidRPr="00954142">
        <w:rPr>
          <w:rFonts w:cs="Times New Roman"/>
        </w:rPr>
        <w:t xml:space="preserve">La función de gobierno que </w:t>
      </w:r>
      <w:r w:rsidR="006F3389" w:rsidRPr="00954142">
        <w:rPr>
          <w:rFonts w:cs="Times New Roman"/>
        </w:rPr>
        <w:t>mayor aumento registró</w:t>
      </w:r>
      <w:r w:rsidR="007B0879" w:rsidRPr="00954142">
        <w:rPr>
          <w:rFonts w:cs="Times New Roman"/>
        </w:rPr>
        <w:t xml:space="preserve"> fue la </w:t>
      </w:r>
      <w:r w:rsidR="00481328" w:rsidRPr="00954142">
        <w:rPr>
          <w:rFonts w:cs="Times New Roman"/>
        </w:rPr>
        <w:t xml:space="preserve">enforcada a </w:t>
      </w:r>
      <w:r w:rsidR="006F3389" w:rsidRPr="00954142">
        <w:rPr>
          <w:rFonts w:cs="Times New Roman"/>
        </w:rPr>
        <w:t xml:space="preserve">asuntos </w:t>
      </w:r>
      <w:r w:rsidR="009C0669" w:rsidRPr="00954142">
        <w:rPr>
          <w:rFonts w:cs="Times New Roman"/>
        </w:rPr>
        <w:t>económicos, a</w:t>
      </w:r>
      <w:r w:rsidR="006F3389" w:rsidRPr="00954142">
        <w:rPr>
          <w:rFonts w:cs="Times New Roman"/>
        </w:rPr>
        <w:t xml:space="preserve"> diciembre </w:t>
      </w:r>
      <w:r w:rsidR="00481328" w:rsidRPr="00954142">
        <w:rPr>
          <w:rFonts w:cs="Times New Roman"/>
        </w:rPr>
        <w:t>se situó en</w:t>
      </w:r>
      <w:r w:rsidR="006F3389" w:rsidRPr="00954142">
        <w:rPr>
          <w:rFonts w:cs="Times New Roman"/>
        </w:rPr>
        <w:t xml:space="preserve"> a Q</w:t>
      </w:r>
      <w:r w:rsidR="00EF75FE" w:rsidRPr="00954142">
        <w:rPr>
          <w:rFonts w:cs="Times New Roman"/>
        </w:rPr>
        <w:t>16,648.1</w:t>
      </w:r>
      <w:r w:rsidR="006F3389" w:rsidRPr="00954142">
        <w:rPr>
          <w:rFonts w:cs="Times New Roman"/>
        </w:rPr>
        <w:t xml:space="preserve"> millones</w:t>
      </w:r>
      <w:r w:rsidR="004165D6">
        <w:rPr>
          <w:rFonts w:cs="Times New Roman"/>
        </w:rPr>
        <w:t>,</w:t>
      </w:r>
      <w:r w:rsidR="006F3389" w:rsidRPr="00954142">
        <w:rPr>
          <w:rFonts w:cs="Times New Roman"/>
        </w:rPr>
        <w:t xml:space="preserve"> </w:t>
      </w:r>
      <w:r w:rsidR="00002B35" w:rsidRPr="00954142">
        <w:rPr>
          <w:rFonts w:cs="Times New Roman"/>
        </w:rPr>
        <w:t>teniendo</w:t>
      </w:r>
      <w:r w:rsidR="006F3389" w:rsidRPr="00954142">
        <w:rPr>
          <w:rFonts w:cs="Times New Roman"/>
        </w:rPr>
        <w:t xml:space="preserve"> </w:t>
      </w:r>
      <w:r w:rsidR="00227028" w:rsidRPr="00954142">
        <w:rPr>
          <w:rFonts w:cs="Times New Roman"/>
        </w:rPr>
        <w:t xml:space="preserve">una </w:t>
      </w:r>
      <w:r w:rsidR="006F3389" w:rsidRPr="00954142">
        <w:rPr>
          <w:rFonts w:cs="Times New Roman"/>
        </w:rPr>
        <w:t>variación interanual de</w:t>
      </w:r>
      <w:r w:rsidR="001B65BA">
        <w:rPr>
          <w:rFonts w:cs="Times New Roman"/>
        </w:rPr>
        <w:t>l</w:t>
      </w:r>
      <w:r w:rsidR="006F3389" w:rsidRPr="00954142">
        <w:rPr>
          <w:rFonts w:cs="Times New Roman"/>
        </w:rPr>
        <w:t xml:space="preserve"> </w:t>
      </w:r>
      <w:r w:rsidR="00EF75FE" w:rsidRPr="00954142">
        <w:rPr>
          <w:rFonts w:cs="Times New Roman"/>
        </w:rPr>
        <w:t>45</w:t>
      </w:r>
      <w:r w:rsidR="006F3389" w:rsidRPr="00954142">
        <w:rPr>
          <w:rFonts w:cs="Times New Roman"/>
        </w:rPr>
        <w:t>.</w:t>
      </w:r>
      <w:r w:rsidR="00EF75FE" w:rsidRPr="00954142">
        <w:rPr>
          <w:rFonts w:cs="Times New Roman"/>
        </w:rPr>
        <w:t>0</w:t>
      </w:r>
      <w:r w:rsidR="006F3389" w:rsidRPr="00954142">
        <w:rPr>
          <w:rFonts w:cs="Times New Roman"/>
        </w:rPr>
        <w:t>% (Q</w:t>
      </w:r>
      <w:r w:rsidR="00EF75FE" w:rsidRPr="00954142">
        <w:rPr>
          <w:rFonts w:cs="Times New Roman"/>
        </w:rPr>
        <w:t>5,166.5</w:t>
      </w:r>
      <w:r w:rsidR="006F3389" w:rsidRPr="00954142">
        <w:rPr>
          <w:rFonts w:cs="Times New Roman"/>
        </w:rPr>
        <w:t xml:space="preserve"> millones)</w:t>
      </w:r>
      <w:r w:rsidR="006C3638" w:rsidRPr="00954142">
        <w:rPr>
          <w:rFonts w:cs="Times New Roman"/>
        </w:rPr>
        <w:t>. El</w:t>
      </w:r>
      <w:r w:rsidR="005B583A" w:rsidRPr="00954142">
        <w:rPr>
          <w:rFonts w:cs="Times New Roman"/>
        </w:rPr>
        <w:t xml:space="preserve"> aumento en esta función</w:t>
      </w:r>
      <w:r w:rsidR="006F3389" w:rsidRPr="00954142">
        <w:rPr>
          <w:rFonts w:cs="Times New Roman"/>
        </w:rPr>
        <w:t xml:space="preserve"> se explica </w:t>
      </w:r>
      <w:r w:rsidR="00430EDB" w:rsidRPr="00954142">
        <w:rPr>
          <w:rFonts w:cs="Times New Roman"/>
        </w:rPr>
        <w:t>principalmente</w:t>
      </w:r>
      <w:r w:rsidR="006F3389" w:rsidRPr="00954142">
        <w:rPr>
          <w:rFonts w:cs="Times New Roman"/>
        </w:rPr>
        <w:t xml:space="preserve"> por la </w:t>
      </w:r>
      <w:r w:rsidR="005B583A" w:rsidRPr="00954142">
        <w:rPr>
          <w:rFonts w:cs="Times New Roman"/>
        </w:rPr>
        <w:t xml:space="preserve">ejecución </w:t>
      </w:r>
      <w:r w:rsidR="006F3389" w:rsidRPr="00954142">
        <w:rPr>
          <w:rFonts w:cs="Times New Roman"/>
        </w:rPr>
        <w:t>de</w:t>
      </w:r>
      <w:r w:rsidR="005B583A" w:rsidRPr="00954142">
        <w:rPr>
          <w:rFonts w:cs="Times New Roman"/>
        </w:rPr>
        <w:t>l</w:t>
      </w:r>
      <w:r w:rsidR="006F3389" w:rsidRPr="00954142">
        <w:rPr>
          <w:rFonts w:cs="Times New Roman"/>
        </w:rPr>
        <w:t xml:space="preserve"> subsidio al gas propano y</w:t>
      </w:r>
      <w:r w:rsidR="00F225F6" w:rsidRPr="00954142">
        <w:rPr>
          <w:rFonts w:cs="Times New Roman"/>
        </w:rPr>
        <w:t xml:space="preserve"> los </w:t>
      </w:r>
      <w:r w:rsidR="006F3389" w:rsidRPr="00954142">
        <w:rPr>
          <w:rFonts w:cs="Times New Roman"/>
        </w:rPr>
        <w:t>combustibles</w:t>
      </w:r>
      <w:r w:rsidR="00430EDB" w:rsidRPr="00954142">
        <w:rPr>
          <w:rFonts w:cs="Times New Roman"/>
        </w:rPr>
        <w:t xml:space="preserve">, el cual fue </w:t>
      </w:r>
      <w:r w:rsidR="00B34AC2" w:rsidRPr="00954142">
        <w:rPr>
          <w:rFonts w:cs="Times New Roman"/>
        </w:rPr>
        <w:t>ejecutado</w:t>
      </w:r>
      <w:r w:rsidR="00430EDB" w:rsidRPr="00954142">
        <w:rPr>
          <w:rFonts w:cs="Times New Roman"/>
        </w:rPr>
        <w:t xml:space="preserve"> en el gobierno central </w:t>
      </w:r>
      <w:r w:rsidR="00B34AC2" w:rsidRPr="00954142">
        <w:rPr>
          <w:rFonts w:cs="Times New Roman"/>
        </w:rPr>
        <w:t>presupuestario</w:t>
      </w:r>
      <w:r w:rsidR="0022743C" w:rsidRPr="00954142">
        <w:rPr>
          <w:rFonts w:cs="Times New Roman"/>
        </w:rPr>
        <w:t xml:space="preserve"> como una medida de apoyo</w:t>
      </w:r>
      <w:r w:rsidR="003454E3" w:rsidRPr="00954142">
        <w:rPr>
          <w:rFonts w:cs="Times New Roman"/>
        </w:rPr>
        <w:t xml:space="preserve"> a las </w:t>
      </w:r>
      <w:r w:rsidR="00142F42" w:rsidRPr="00954142">
        <w:rPr>
          <w:rFonts w:cs="Times New Roman"/>
        </w:rPr>
        <w:t>familias ante el aumento de los precios internacionales de los combustibles.</w:t>
      </w:r>
    </w:p>
    <w:p w14:paraId="36C5D0CE" w14:textId="74EB0E24" w:rsidR="00B225AB" w:rsidRPr="00954142" w:rsidRDefault="006065C4" w:rsidP="00B225AB">
      <w:pPr>
        <w:rPr>
          <w:rFonts w:cs="Times New Roman"/>
        </w:rPr>
      </w:pPr>
      <w:r w:rsidRPr="00954142">
        <w:rPr>
          <w:rFonts w:cs="Times New Roman"/>
        </w:rPr>
        <w:t>L</w:t>
      </w:r>
      <w:r w:rsidR="00B225AB" w:rsidRPr="00954142">
        <w:rPr>
          <w:rFonts w:cs="Times New Roman"/>
        </w:rPr>
        <w:t>as erogaciones destinadas a</w:t>
      </w:r>
      <w:r w:rsidR="00303045" w:rsidRPr="00954142">
        <w:rPr>
          <w:rFonts w:cs="Times New Roman"/>
        </w:rPr>
        <w:t xml:space="preserve"> la protección social ascendieron a </w:t>
      </w:r>
      <w:r w:rsidR="009C0A1C" w:rsidRPr="00954142">
        <w:rPr>
          <w:rFonts w:cs="Times New Roman"/>
        </w:rPr>
        <w:t>Q</w:t>
      </w:r>
      <w:r w:rsidR="00303045" w:rsidRPr="00954142">
        <w:rPr>
          <w:rFonts w:cs="Times New Roman"/>
        </w:rPr>
        <w:t>19,</w:t>
      </w:r>
      <w:r w:rsidR="004D787B">
        <w:rPr>
          <w:rFonts w:cs="Times New Roman"/>
        </w:rPr>
        <w:t>311</w:t>
      </w:r>
      <w:r w:rsidR="00303045" w:rsidRPr="00954142">
        <w:rPr>
          <w:rFonts w:cs="Times New Roman"/>
        </w:rPr>
        <w:t>.</w:t>
      </w:r>
      <w:r w:rsidR="004D787B">
        <w:rPr>
          <w:rFonts w:cs="Times New Roman"/>
        </w:rPr>
        <w:t>3</w:t>
      </w:r>
      <w:r w:rsidR="009C0A1C" w:rsidRPr="00954142">
        <w:rPr>
          <w:rFonts w:cs="Times New Roman"/>
        </w:rPr>
        <w:t xml:space="preserve"> millones con un aumento del 15.</w:t>
      </w:r>
      <w:r w:rsidR="009472B1">
        <w:rPr>
          <w:rFonts w:cs="Times New Roman"/>
        </w:rPr>
        <w:t>8</w:t>
      </w:r>
      <w:r w:rsidR="009C0A1C" w:rsidRPr="00954142">
        <w:rPr>
          <w:rFonts w:cs="Times New Roman"/>
        </w:rPr>
        <w:t>% (Q2,</w:t>
      </w:r>
      <w:r w:rsidR="009472B1">
        <w:rPr>
          <w:rFonts w:cs="Times New Roman"/>
        </w:rPr>
        <w:t>639</w:t>
      </w:r>
      <w:r w:rsidR="009C0A1C" w:rsidRPr="00954142">
        <w:rPr>
          <w:rFonts w:cs="Times New Roman"/>
        </w:rPr>
        <w:t>.</w:t>
      </w:r>
      <w:r w:rsidR="009472B1">
        <w:rPr>
          <w:rFonts w:cs="Times New Roman"/>
        </w:rPr>
        <w:t>6</w:t>
      </w:r>
      <w:r w:rsidR="009C0A1C" w:rsidRPr="00954142">
        <w:rPr>
          <w:rFonts w:cs="Times New Roman"/>
        </w:rPr>
        <w:t xml:space="preserve"> millones)</w:t>
      </w:r>
      <w:r w:rsidR="00A718E3" w:rsidRPr="00954142">
        <w:rPr>
          <w:rFonts w:cs="Times New Roman"/>
        </w:rPr>
        <w:t xml:space="preserve">. El </w:t>
      </w:r>
      <w:r w:rsidR="00677D51" w:rsidRPr="00954142">
        <w:rPr>
          <w:rFonts w:cs="Times New Roman"/>
        </w:rPr>
        <w:t>g</w:t>
      </w:r>
      <w:r w:rsidR="00A718E3" w:rsidRPr="00954142">
        <w:rPr>
          <w:rFonts w:cs="Times New Roman"/>
        </w:rPr>
        <w:t xml:space="preserve">obierno </w:t>
      </w:r>
      <w:r w:rsidR="00677D51" w:rsidRPr="00954142">
        <w:rPr>
          <w:rFonts w:cs="Times New Roman"/>
        </w:rPr>
        <w:t>c</w:t>
      </w:r>
      <w:r w:rsidR="007763C5" w:rsidRPr="00954142">
        <w:rPr>
          <w:rFonts w:cs="Times New Roman"/>
        </w:rPr>
        <w:t>entral</w:t>
      </w:r>
      <w:r w:rsidR="00677D51" w:rsidRPr="00954142">
        <w:rPr>
          <w:rFonts w:cs="Times New Roman"/>
        </w:rPr>
        <w:t xml:space="preserve"> presupuestarios </w:t>
      </w:r>
      <w:r w:rsidR="003E727F" w:rsidRPr="00954142">
        <w:rPr>
          <w:rFonts w:cs="Times New Roman"/>
        </w:rPr>
        <w:t>ejecut</w:t>
      </w:r>
      <w:r w:rsidR="004165D6">
        <w:rPr>
          <w:rFonts w:cs="Times New Roman"/>
        </w:rPr>
        <w:t>ó</w:t>
      </w:r>
      <w:r w:rsidR="002E5DD4" w:rsidRPr="00954142">
        <w:rPr>
          <w:rFonts w:cs="Times New Roman"/>
        </w:rPr>
        <w:t xml:space="preserve"> el 60.6% de</w:t>
      </w:r>
      <w:r w:rsidR="00F81071" w:rsidRPr="00954142">
        <w:rPr>
          <w:rFonts w:cs="Times New Roman"/>
        </w:rPr>
        <w:t xml:space="preserve"> las erogaciones destinadas para esta función</w:t>
      </w:r>
      <w:r w:rsidR="0039268D" w:rsidRPr="00954142">
        <w:rPr>
          <w:rFonts w:cs="Times New Roman"/>
        </w:rPr>
        <w:t xml:space="preserve">, producto principalmente </w:t>
      </w:r>
      <w:r w:rsidR="00070E63" w:rsidRPr="00954142">
        <w:rPr>
          <w:rFonts w:cs="Times New Roman"/>
        </w:rPr>
        <w:t>d</w:t>
      </w:r>
      <w:r w:rsidR="006D34CC" w:rsidRPr="00954142">
        <w:rPr>
          <w:rFonts w:cs="Times New Roman"/>
        </w:rPr>
        <w:t xml:space="preserve">el pago </w:t>
      </w:r>
      <w:r w:rsidR="00370653" w:rsidRPr="00954142">
        <w:rPr>
          <w:rFonts w:cs="Times New Roman"/>
        </w:rPr>
        <w:t>al</w:t>
      </w:r>
      <w:r w:rsidR="006D34CC" w:rsidRPr="00954142">
        <w:rPr>
          <w:rFonts w:cs="Times New Roman"/>
        </w:rPr>
        <w:t xml:space="preserve"> renglón </w:t>
      </w:r>
      <w:r w:rsidR="00370653" w:rsidRPr="00954142">
        <w:rPr>
          <w:rFonts w:cs="Times New Roman"/>
        </w:rPr>
        <w:t xml:space="preserve">de </w:t>
      </w:r>
      <w:r w:rsidR="006D34CC" w:rsidRPr="00954142">
        <w:rPr>
          <w:rFonts w:cs="Times New Roman"/>
        </w:rPr>
        <w:t>jubilaciones y retiros</w:t>
      </w:r>
      <w:r w:rsidR="00370653" w:rsidRPr="00954142">
        <w:rPr>
          <w:rFonts w:cs="Times New Roman"/>
        </w:rPr>
        <w:t xml:space="preserve"> mientras </w:t>
      </w:r>
      <w:r w:rsidR="00B25CC2" w:rsidRPr="00954142">
        <w:rPr>
          <w:rFonts w:cs="Times New Roman"/>
        </w:rPr>
        <w:t>que los fondos de seguridad social ejecut</w:t>
      </w:r>
      <w:r w:rsidR="00885C37" w:rsidRPr="00954142">
        <w:rPr>
          <w:rFonts w:cs="Times New Roman"/>
        </w:rPr>
        <w:t>aron</w:t>
      </w:r>
      <w:r w:rsidR="00B25CC2" w:rsidRPr="00954142">
        <w:rPr>
          <w:rFonts w:cs="Times New Roman"/>
        </w:rPr>
        <w:t xml:space="preserve"> el 37.1%</w:t>
      </w:r>
      <w:r w:rsidR="00885C37" w:rsidRPr="00954142">
        <w:rPr>
          <w:rFonts w:cs="Times New Roman"/>
        </w:rPr>
        <w:t>. L</w:t>
      </w:r>
      <w:r w:rsidR="00701CE7" w:rsidRPr="00954142">
        <w:rPr>
          <w:rFonts w:cs="Times New Roman"/>
        </w:rPr>
        <w:t xml:space="preserve">os gobiernos locales y las entidades del gobierno central extrapresupuestario ejecutaron en conjunto el </w:t>
      </w:r>
      <w:r w:rsidR="0091261F" w:rsidRPr="00954142">
        <w:rPr>
          <w:rFonts w:cs="Times New Roman"/>
        </w:rPr>
        <w:t>2.3% restante</w:t>
      </w:r>
    </w:p>
    <w:p w14:paraId="13399A30" w14:textId="7791A75B" w:rsidR="00F80C82" w:rsidRPr="00954142" w:rsidRDefault="005431FF" w:rsidP="006F3389">
      <w:pPr>
        <w:rPr>
          <w:rFonts w:cs="Times New Roman"/>
          <w:sz w:val="22"/>
          <w:szCs w:val="22"/>
        </w:rPr>
      </w:pPr>
      <w:r w:rsidRPr="00954142">
        <w:rPr>
          <w:rFonts w:cs="Times New Roman"/>
          <w:noProof/>
          <w:sz w:val="22"/>
          <w:szCs w:val="22"/>
          <w:lang w:eastAsia="es-GT"/>
        </w:rPr>
        <w:drawing>
          <wp:inline distT="0" distB="0" distL="0" distR="0" wp14:anchorId="29CE4EB6" wp14:editId="3D231303">
            <wp:extent cx="5934710" cy="4517409"/>
            <wp:effectExtent l="0" t="0" r="8890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A1661D1" w14:textId="17CBFF81" w:rsidR="00360724" w:rsidRPr="00954142" w:rsidRDefault="00360724" w:rsidP="006D1668">
      <w:pPr>
        <w:rPr>
          <w:rFonts w:cs="Times New Roman"/>
        </w:rPr>
      </w:pPr>
      <w:r w:rsidRPr="00954142">
        <w:rPr>
          <w:rFonts w:cs="Times New Roman"/>
        </w:rPr>
        <w:lastRenderedPageBreak/>
        <w:t xml:space="preserve">En cuanto a las erogaciones destinadas a </w:t>
      </w:r>
      <w:r w:rsidR="00CF7410" w:rsidRPr="00954142">
        <w:rPr>
          <w:rFonts w:cs="Times New Roman"/>
        </w:rPr>
        <w:t xml:space="preserve">la función de </w:t>
      </w:r>
      <w:r w:rsidR="00B4586F">
        <w:rPr>
          <w:rFonts w:cs="Times New Roman"/>
        </w:rPr>
        <w:t>e</w:t>
      </w:r>
      <w:r w:rsidR="00CF7410" w:rsidRPr="00954142">
        <w:rPr>
          <w:rFonts w:cs="Times New Roman"/>
        </w:rPr>
        <w:t xml:space="preserve">ducación, estas ascienden a </w:t>
      </w:r>
      <w:r w:rsidR="00887060" w:rsidRPr="00954142">
        <w:rPr>
          <w:rFonts w:cs="Times New Roman"/>
        </w:rPr>
        <w:t>Q</w:t>
      </w:r>
      <w:r w:rsidR="00DB0286" w:rsidRPr="00954142">
        <w:rPr>
          <w:rFonts w:cs="Times New Roman"/>
        </w:rPr>
        <w:t>24,4</w:t>
      </w:r>
      <w:r w:rsidR="00F85E69">
        <w:rPr>
          <w:rFonts w:cs="Times New Roman"/>
        </w:rPr>
        <w:t>00</w:t>
      </w:r>
      <w:r w:rsidR="00DB0286" w:rsidRPr="00954142">
        <w:rPr>
          <w:rFonts w:cs="Times New Roman"/>
        </w:rPr>
        <w:t>.</w:t>
      </w:r>
      <w:r w:rsidR="00F85E69">
        <w:rPr>
          <w:rFonts w:cs="Times New Roman"/>
        </w:rPr>
        <w:t>4</w:t>
      </w:r>
      <w:r w:rsidR="00DB0286" w:rsidRPr="00954142">
        <w:rPr>
          <w:rFonts w:cs="Times New Roman"/>
        </w:rPr>
        <w:t xml:space="preserve"> millones</w:t>
      </w:r>
      <w:r w:rsidR="004165D6">
        <w:rPr>
          <w:rFonts w:cs="Times New Roman"/>
        </w:rPr>
        <w:t xml:space="preserve">, </w:t>
      </w:r>
      <w:r w:rsidR="009472B1">
        <w:rPr>
          <w:rFonts w:cs="Times New Roman"/>
        </w:rPr>
        <w:t>mostrando</w:t>
      </w:r>
      <w:r w:rsidR="009472B1" w:rsidRPr="00954142">
        <w:rPr>
          <w:rFonts w:cs="Times New Roman"/>
        </w:rPr>
        <w:t xml:space="preserve"> un</w:t>
      </w:r>
      <w:r w:rsidR="00DB0286" w:rsidRPr="00954142">
        <w:rPr>
          <w:rFonts w:cs="Times New Roman"/>
        </w:rPr>
        <w:t xml:space="preserve"> aumento interanual del </w:t>
      </w:r>
      <w:r w:rsidR="00F30060" w:rsidRPr="00954142">
        <w:rPr>
          <w:rFonts w:cs="Times New Roman"/>
        </w:rPr>
        <w:t>11.</w:t>
      </w:r>
      <w:r w:rsidR="00F85E69">
        <w:rPr>
          <w:rFonts w:cs="Times New Roman"/>
        </w:rPr>
        <w:t>6</w:t>
      </w:r>
      <w:r w:rsidR="00F30060" w:rsidRPr="00954142">
        <w:rPr>
          <w:rFonts w:cs="Times New Roman"/>
        </w:rPr>
        <w:t>% (Q2,</w:t>
      </w:r>
      <w:r w:rsidR="00D067B5">
        <w:rPr>
          <w:rFonts w:cs="Times New Roman"/>
        </w:rPr>
        <w:t>527</w:t>
      </w:r>
      <w:r w:rsidR="00F30060" w:rsidRPr="00954142">
        <w:rPr>
          <w:rFonts w:cs="Times New Roman"/>
        </w:rPr>
        <w:t>.</w:t>
      </w:r>
      <w:r w:rsidR="00D067B5">
        <w:rPr>
          <w:rFonts w:cs="Times New Roman"/>
        </w:rPr>
        <w:t>5</w:t>
      </w:r>
      <w:r w:rsidR="00F30060" w:rsidRPr="00954142">
        <w:rPr>
          <w:rFonts w:cs="Times New Roman"/>
        </w:rPr>
        <w:t xml:space="preserve"> millones)</w:t>
      </w:r>
      <w:r w:rsidR="00AE2A0F" w:rsidRPr="00954142">
        <w:rPr>
          <w:rFonts w:cs="Times New Roman"/>
        </w:rPr>
        <w:t>. El mayor aumento dentro de esta categoría</w:t>
      </w:r>
      <w:r w:rsidR="009948EC" w:rsidRPr="00954142">
        <w:rPr>
          <w:rFonts w:cs="Times New Roman"/>
        </w:rPr>
        <w:t xml:space="preserve"> se produce en las erogaciones a servicios auxiliares de la educación, que tuvo un crecimiento del </w:t>
      </w:r>
      <w:r w:rsidR="00B72572" w:rsidRPr="00954142">
        <w:rPr>
          <w:rFonts w:cs="Times New Roman"/>
        </w:rPr>
        <w:t>46</w:t>
      </w:r>
      <w:r w:rsidR="00962703">
        <w:rPr>
          <w:rFonts w:cs="Times New Roman"/>
        </w:rPr>
        <w:t>.1</w:t>
      </w:r>
      <w:r w:rsidR="00B72572" w:rsidRPr="00954142">
        <w:rPr>
          <w:rFonts w:cs="Times New Roman"/>
        </w:rPr>
        <w:t>% (Q1,6</w:t>
      </w:r>
      <w:r w:rsidR="00962703">
        <w:rPr>
          <w:rFonts w:cs="Times New Roman"/>
        </w:rPr>
        <w:t>23</w:t>
      </w:r>
      <w:r w:rsidR="00B72572" w:rsidRPr="00954142">
        <w:rPr>
          <w:rFonts w:cs="Times New Roman"/>
        </w:rPr>
        <w:t>.</w:t>
      </w:r>
      <w:r w:rsidR="00962703">
        <w:rPr>
          <w:rFonts w:cs="Times New Roman"/>
        </w:rPr>
        <w:t>8</w:t>
      </w:r>
      <w:r w:rsidR="00B72572" w:rsidRPr="00954142">
        <w:rPr>
          <w:rFonts w:cs="Times New Roman"/>
        </w:rPr>
        <w:t xml:space="preserve"> millones) </w:t>
      </w:r>
      <w:r w:rsidR="00E83E16" w:rsidRPr="00954142">
        <w:rPr>
          <w:rFonts w:cs="Times New Roman"/>
        </w:rPr>
        <w:t xml:space="preserve">y las destinadas a </w:t>
      </w:r>
      <w:r w:rsidR="007729AC" w:rsidRPr="00954142">
        <w:rPr>
          <w:rFonts w:cs="Times New Roman"/>
        </w:rPr>
        <w:t xml:space="preserve">la enseñanza preescolar y primaria que fueron superior en </w:t>
      </w:r>
      <w:r w:rsidR="00C6487D" w:rsidRPr="00954142">
        <w:rPr>
          <w:rFonts w:cs="Times New Roman"/>
        </w:rPr>
        <w:t>6.0% (</w:t>
      </w:r>
      <w:r w:rsidR="007729AC" w:rsidRPr="00954142">
        <w:rPr>
          <w:rFonts w:cs="Times New Roman"/>
        </w:rPr>
        <w:t>Q</w:t>
      </w:r>
      <w:r w:rsidR="00C6487D" w:rsidRPr="00954142">
        <w:rPr>
          <w:rFonts w:cs="Times New Roman"/>
        </w:rPr>
        <w:t>742.2 millones) a las observadas en el año previo.</w:t>
      </w:r>
    </w:p>
    <w:p w14:paraId="13A97A48" w14:textId="0A38281D" w:rsidR="006D1668" w:rsidRPr="00954142" w:rsidRDefault="006D1668" w:rsidP="006D1668">
      <w:pPr>
        <w:rPr>
          <w:rFonts w:cs="Times New Roman"/>
        </w:rPr>
      </w:pPr>
      <w:r w:rsidRPr="00954142">
        <w:rPr>
          <w:rFonts w:cs="Times New Roman"/>
        </w:rPr>
        <w:t>Las erogaciones destinadas a la función de servicios públicos generales ascendieron a Q2</w:t>
      </w:r>
      <w:r w:rsidR="00C6487D" w:rsidRPr="00954142">
        <w:rPr>
          <w:rFonts w:cs="Times New Roman"/>
        </w:rPr>
        <w:t>4</w:t>
      </w:r>
      <w:r w:rsidRPr="00954142">
        <w:rPr>
          <w:rFonts w:cs="Times New Roman"/>
        </w:rPr>
        <w:t>,9</w:t>
      </w:r>
      <w:r w:rsidR="00C6487D" w:rsidRPr="00954142">
        <w:rPr>
          <w:rFonts w:cs="Times New Roman"/>
        </w:rPr>
        <w:t>6</w:t>
      </w:r>
      <w:r w:rsidR="00F53730">
        <w:rPr>
          <w:rFonts w:cs="Times New Roman"/>
        </w:rPr>
        <w:t>6</w:t>
      </w:r>
      <w:r w:rsidRPr="00954142">
        <w:rPr>
          <w:rFonts w:cs="Times New Roman"/>
        </w:rPr>
        <w:t>.</w:t>
      </w:r>
      <w:r w:rsidR="00F53730">
        <w:rPr>
          <w:rFonts w:cs="Times New Roman"/>
        </w:rPr>
        <w:t>6</w:t>
      </w:r>
      <w:r w:rsidRPr="00954142">
        <w:rPr>
          <w:rFonts w:cs="Times New Roman"/>
        </w:rPr>
        <w:t xml:space="preserve"> millones esto es un aumento del </w:t>
      </w:r>
      <w:r w:rsidR="00A82C9D" w:rsidRPr="00954142">
        <w:rPr>
          <w:rFonts w:cs="Times New Roman"/>
        </w:rPr>
        <w:t>7</w:t>
      </w:r>
      <w:r w:rsidRPr="00954142">
        <w:rPr>
          <w:rFonts w:cs="Times New Roman"/>
        </w:rPr>
        <w:t>.</w:t>
      </w:r>
      <w:r w:rsidR="00A82C9D" w:rsidRPr="00954142">
        <w:rPr>
          <w:rFonts w:cs="Times New Roman"/>
        </w:rPr>
        <w:t>9</w:t>
      </w:r>
      <w:r w:rsidRPr="00954142">
        <w:rPr>
          <w:rFonts w:cs="Times New Roman"/>
        </w:rPr>
        <w:t>% (Q</w:t>
      </w:r>
      <w:r w:rsidR="00A82C9D" w:rsidRPr="00954142">
        <w:rPr>
          <w:rFonts w:cs="Times New Roman"/>
        </w:rPr>
        <w:t>1</w:t>
      </w:r>
      <w:r w:rsidRPr="00954142">
        <w:rPr>
          <w:rFonts w:cs="Times New Roman"/>
        </w:rPr>
        <w:t>,8</w:t>
      </w:r>
      <w:r w:rsidR="00A82C9D" w:rsidRPr="00954142">
        <w:rPr>
          <w:rFonts w:cs="Times New Roman"/>
        </w:rPr>
        <w:t>3</w:t>
      </w:r>
      <w:r w:rsidR="00F53730">
        <w:rPr>
          <w:rFonts w:cs="Times New Roman"/>
        </w:rPr>
        <w:t>7</w:t>
      </w:r>
      <w:r w:rsidRPr="00954142">
        <w:rPr>
          <w:rFonts w:cs="Times New Roman"/>
        </w:rPr>
        <w:t>.</w:t>
      </w:r>
      <w:r w:rsidR="00F53730">
        <w:rPr>
          <w:rFonts w:cs="Times New Roman"/>
        </w:rPr>
        <w:t>2</w:t>
      </w:r>
      <w:r w:rsidRPr="00954142">
        <w:rPr>
          <w:rFonts w:cs="Times New Roman"/>
        </w:rPr>
        <w:t xml:space="preserve"> millones)</w:t>
      </w:r>
      <w:r w:rsidR="00A10873" w:rsidRPr="00954142">
        <w:rPr>
          <w:rFonts w:cs="Times New Roman"/>
        </w:rPr>
        <w:t xml:space="preserve"> mientras que</w:t>
      </w:r>
      <w:r w:rsidR="00AE57B2" w:rsidRPr="00954142">
        <w:rPr>
          <w:rFonts w:cs="Times New Roman"/>
        </w:rPr>
        <w:t xml:space="preserve"> las erogaciones en salud se situaron en Q17,66</w:t>
      </w:r>
      <w:r w:rsidR="00D630D2">
        <w:rPr>
          <w:rFonts w:cs="Times New Roman"/>
        </w:rPr>
        <w:t>9</w:t>
      </w:r>
      <w:r w:rsidR="00AE57B2" w:rsidRPr="00954142">
        <w:rPr>
          <w:rFonts w:cs="Times New Roman"/>
        </w:rPr>
        <w:t xml:space="preserve">.2millones con una tasa de crecimiento del </w:t>
      </w:r>
      <w:r w:rsidR="002D3E2D" w:rsidRPr="00954142">
        <w:rPr>
          <w:rFonts w:cs="Times New Roman"/>
        </w:rPr>
        <w:t>8.2% (Q1,3</w:t>
      </w:r>
      <w:r w:rsidR="00D630D2">
        <w:rPr>
          <w:rFonts w:cs="Times New Roman"/>
        </w:rPr>
        <w:t>46</w:t>
      </w:r>
      <w:r w:rsidR="002D3E2D" w:rsidRPr="00954142">
        <w:rPr>
          <w:rFonts w:cs="Times New Roman"/>
        </w:rPr>
        <w:t>.</w:t>
      </w:r>
      <w:r w:rsidR="00D630D2">
        <w:rPr>
          <w:rFonts w:cs="Times New Roman"/>
        </w:rPr>
        <w:t>3</w:t>
      </w:r>
      <w:r w:rsidR="002D3E2D" w:rsidRPr="00954142">
        <w:rPr>
          <w:rFonts w:cs="Times New Roman"/>
        </w:rPr>
        <w:t xml:space="preserve"> millones)</w:t>
      </w:r>
      <w:r w:rsidR="00A10873" w:rsidRPr="00954142">
        <w:rPr>
          <w:rFonts w:cs="Times New Roman"/>
        </w:rPr>
        <w:t>. C</w:t>
      </w:r>
      <w:r w:rsidR="00966684" w:rsidRPr="00954142">
        <w:rPr>
          <w:rFonts w:cs="Times New Roman"/>
        </w:rPr>
        <w:t xml:space="preserve">abe </w:t>
      </w:r>
      <w:r w:rsidR="009734DA" w:rsidRPr="00954142">
        <w:rPr>
          <w:rFonts w:cs="Times New Roman"/>
        </w:rPr>
        <w:t>resaltar</w:t>
      </w:r>
      <w:r w:rsidR="00966684" w:rsidRPr="00954142">
        <w:rPr>
          <w:rFonts w:cs="Times New Roman"/>
        </w:rPr>
        <w:t xml:space="preserve"> que el gobierno central presupuestario ejecuto el </w:t>
      </w:r>
      <w:r w:rsidR="00096AC3" w:rsidRPr="00954142">
        <w:rPr>
          <w:rFonts w:cs="Times New Roman"/>
        </w:rPr>
        <w:t>60.1% de</w:t>
      </w:r>
      <w:r w:rsidR="009734DA" w:rsidRPr="00954142">
        <w:rPr>
          <w:rFonts w:cs="Times New Roman"/>
        </w:rPr>
        <w:t xml:space="preserve"> las erogaciones en salud</w:t>
      </w:r>
      <w:r w:rsidR="00754389" w:rsidRPr="00954142">
        <w:rPr>
          <w:rFonts w:cs="Times New Roman"/>
        </w:rPr>
        <w:t xml:space="preserve">, mientras que los fondos de seguridad social el 38.0% y los gobiernos locales el </w:t>
      </w:r>
      <w:r w:rsidR="00A10873" w:rsidRPr="00954142">
        <w:rPr>
          <w:rFonts w:cs="Times New Roman"/>
        </w:rPr>
        <w:t>1.9%</w:t>
      </w:r>
      <w:r w:rsidR="009734DA" w:rsidRPr="00954142">
        <w:rPr>
          <w:rFonts w:cs="Times New Roman"/>
        </w:rPr>
        <w:t>.</w:t>
      </w:r>
    </w:p>
    <w:p w14:paraId="7076795D" w14:textId="4D5919D0" w:rsidR="00714BA7" w:rsidRPr="00954142" w:rsidRDefault="00654B06" w:rsidP="00D319A6">
      <w:pPr>
        <w:rPr>
          <w:rFonts w:eastAsiaTheme="majorEastAsia" w:cs="Times New Roman"/>
          <w:b/>
          <w:bCs/>
          <w:sz w:val="22"/>
          <w:szCs w:val="22"/>
        </w:rPr>
      </w:pPr>
      <w:r w:rsidRPr="00954142">
        <w:rPr>
          <w:rFonts w:cs="Times New Roman"/>
        </w:rPr>
        <w:t xml:space="preserve">La ejecución en la función de </w:t>
      </w:r>
      <w:r w:rsidR="009633F3" w:rsidRPr="00954142">
        <w:rPr>
          <w:rFonts w:cs="Times New Roman"/>
        </w:rPr>
        <w:t xml:space="preserve">orden público y seguridad ascendió a Q13,697.6 millones siendo mayor en </w:t>
      </w:r>
      <w:r w:rsidR="00671D78" w:rsidRPr="00954142">
        <w:rPr>
          <w:rFonts w:cs="Times New Roman"/>
        </w:rPr>
        <w:t xml:space="preserve">9.6% (Q1,201.3 millones) respecto a lo observado en 2021. </w:t>
      </w:r>
      <w:r w:rsidR="00D278A1" w:rsidRPr="00954142">
        <w:rPr>
          <w:rFonts w:cs="Times New Roman"/>
        </w:rPr>
        <w:t xml:space="preserve">La erogación enfocada en </w:t>
      </w:r>
      <w:r w:rsidR="0055285D" w:rsidRPr="00954142">
        <w:rPr>
          <w:rFonts w:cs="Times New Roman"/>
        </w:rPr>
        <w:t>la</w:t>
      </w:r>
      <w:r w:rsidR="00D278A1" w:rsidRPr="00954142">
        <w:rPr>
          <w:rFonts w:cs="Times New Roman"/>
        </w:rPr>
        <w:t xml:space="preserve"> defensa se </w:t>
      </w:r>
      <w:r w:rsidR="00C11866" w:rsidRPr="00954142">
        <w:rPr>
          <w:rFonts w:cs="Times New Roman"/>
        </w:rPr>
        <w:t>situó</w:t>
      </w:r>
      <w:r w:rsidR="00D278A1" w:rsidRPr="00954142">
        <w:rPr>
          <w:rFonts w:cs="Times New Roman"/>
        </w:rPr>
        <w:t xml:space="preserve"> en </w:t>
      </w:r>
      <w:r w:rsidR="00C11866" w:rsidRPr="00954142">
        <w:rPr>
          <w:rFonts w:cs="Times New Roman"/>
        </w:rPr>
        <w:t xml:space="preserve">Q2,345.3 millones siendo esto un crecimiento del 31.1% (Q556.0 millones) seguido de las destinadas en </w:t>
      </w:r>
      <w:r w:rsidR="005E7589" w:rsidRPr="00954142">
        <w:rPr>
          <w:rFonts w:cs="Times New Roman"/>
        </w:rPr>
        <w:t>actividades recreativas, cultura y religión que ascendió a Q</w:t>
      </w:r>
      <w:r w:rsidR="007C34AF" w:rsidRPr="00954142">
        <w:rPr>
          <w:rFonts w:cs="Times New Roman"/>
        </w:rPr>
        <w:t>2,0</w:t>
      </w:r>
      <w:r w:rsidR="00D472AC">
        <w:rPr>
          <w:rFonts w:cs="Times New Roman"/>
        </w:rPr>
        <w:t>75</w:t>
      </w:r>
      <w:r w:rsidR="007C34AF" w:rsidRPr="00954142">
        <w:rPr>
          <w:rFonts w:cs="Times New Roman"/>
        </w:rPr>
        <w:t>.</w:t>
      </w:r>
      <w:r w:rsidR="00D472AC">
        <w:rPr>
          <w:rFonts w:cs="Times New Roman"/>
        </w:rPr>
        <w:t>4</w:t>
      </w:r>
      <w:r w:rsidR="007C34AF" w:rsidRPr="00954142">
        <w:rPr>
          <w:rFonts w:cs="Times New Roman"/>
        </w:rPr>
        <w:t xml:space="preserve"> millones con una tasa interanual del 1</w:t>
      </w:r>
      <w:r w:rsidR="0006603D">
        <w:rPr>
          <w:rFonts w:cs="Times New Roman"/>
        </w:rPr>
        <w:t>5</w:t>
      </w:r>
      <w:r w:rsidR="007C34AF" w:rsidRPr="00954142">
        <w:rPr>
          <w:rFonts w:cs="Times New Roman"/>
        </w:rPr>
        <w:t>.</w:t>
      </w:r>
      <w:r w:rsidR="0006603D">
        <w:rPr>
          <w:rFonts w:cs="Times New Roman"/>
        </w:rPr>
        <w:t>4</w:t>
      </w:r>
      <w:r w:rsidR="007C34AF" w:rsidRPr="00954142">
        <w:rPr>
          <w:rFonts w:cs="Times New Roman"/>
        </w:rPr>
        <w:t>% (Q2</w:t>
      </w:r>
      <w:r w:rsidR="0006603D">
        <w:rPr>
          <w:rFonts w:cs="Times New Roman"/>
        </w:rPr>
        <w:t>77</w:t>
      </w:r>
      <w:r w:rsidR="007C34AF" w:rsidRPr="00954142">
        <w:rPr>
          <w:rFonts w:cs="Times New Roman"/>
        </w:rPr>
        <w:t>.</w:t>
      </w:r>
      <w:r w:rsidR="0006603D">
        <w:rPr>
          <w:rFonts w:cs="Times New Roman"/>
        </w:rPr>
        <w:t>6</w:t>
      </w:r>
      <w:r w:rsidR="007C34AF" w:rsidRPr="00954142">
        <w:rPr>
          <w:rFonts w:cs="Times New Roman"/>
        </w:rPr>
        <w:t xml:space="preserve"> millones), </w:t>
      </w:r>
      <w:r w:rsidR="0055285D" w:rsidRPr="00954142">
        <w:rPr>
          <w:rFonts w:cs="Times New Roman"/>
        </w:rPr>
        <w:t xml:space="preserve">las enfocadas a la protección </w:t>
      </w:r>
      <w:r w:rsidR="00A73A3F">
        <w:rPr>
          <w:rFonts w:cs="Times New Roman"/>
        </w:rPr>
        <w:t>del medio ambiente</w:t>
      </w:r>
      <w:r w:rsidR="0055285D" w:rsidRPr="00954142">
        <w:rPr>
          <w:rFonts w:cs="Times New Roman"/>
        </w:rPr>
        <w:t xml:space="preserve"> </w:t>
      </w:r>
      <w:r w:rsidR="00A75206" w:rsidRPr="00954142">
        <w:rPr>
          <w:rFonts w:cs="Times New Roman"/>
        </w:rPr>
        <w:t>alcanzo los Q2,6</w:t>
      </w:r>
      <w:r w:rsidR="00377F5B">
        <w:rPr>
          <w:rFonts w:cs="Times New Roman"/>
        </w:rPr>
        <w:t>30</w:t>
      </w:r>
      <w:r w:rsidR="00A75206" w:rsidRPr="00954142">
        <w:rPr>
          <w:rFonts w:cs="Times New Roman"/>
        </w:rPr>
        <w:t>.</w:t>
      </w:r>
      <w:r w:rsidR="00377F5B">
        <w:rPr>
          <w:rFonts w:cs="Times New Roman"/>
        </w:rPr>
        <w:t>3</w:t>
      </w:r>
      <w:r w:rsidR="00A75206" w:rsidRPr="00954142">
        <w:rPr>
          <w:rFonts w:cs="Times New Roman"/>
        </w:rPr>
        <w:t xml:space="preserve"> millones siendo super</w:t>
      </w:r>
      <w:r w:rsidR="00377F5B">
        <w:rPr>
          <w:rFonts w:cs="Times New Roman"/>
        </w:rPr>
        <w:t>i</w:t>
      </w:r>
      <w:r w:rsidR="00A75206" w:rsidRPr="00954142">
        <w:rPr>
          <w:rFonts w:cs="Times New Roman"/>
        </w:rPr>
        <w:t>o</w:t>
      </w:r>
      <w:r w:rsidR="00377F5B">
        <w:rPr>
          <w:rFonts w:cs="Times New Roman"/>
        </w:rPr>
        <w:t>r</w:t>
      </w:r>
      <w:r w:rsidR="00A75206" w:rsidRPr="00954142">
        <w:rPr>
          <w:rFonts w:cs="Times New Roman"/>
        </w:rPr>
        <w:t xml:space="preserve"> en 9.</w:t>
      </w:r>
      <w:r w:rsidR="00377F5B">
        <w:rPr>
          <w:rFonts w:cs="Times New Roman"/>
        </w:rPr>
        <w:t>8</w:t>
      </w:r>
      <w:r w:rsidR="00A75206" w:rsidRPr="00954142">
        <w:rPr>
          <w:rFonts w:cs="Times New Roman"/>
        </w:rPr>
        <w:t>% (Q2</w:t>
      </w:r>
      <w:r w:rsidR="00C6016C">
        <w:rPr>
          <w:rFonts w:cs="Times New Roman"/>
        </w:rPr>
        <w:t>33</w:t>
      </w:r>
      <w:r w:rsidR="00A75206" w:rsidRPr="00954142">
        <w:rPr>
          <w:rFonts w:cs="Times New Roman"/>
        </w:rPr>
        <w:t>.</w:t>
      </w:r>
      <w:r w:rsidR="00C6016C">
        <w:rPr>
          <w:rFonts w:cs="Times New Roman"/>
        </w:rPr>
        <w:t>8</w:t>
      </w:r>
      <w:r w:rsidR="00A75206" w:rsidRPr="00954142">
        <w:rPr>
          <w:rFonts w:cs="Times New Roman"/>
        </w:rPr>
        <w:t xml:space="preserve"> millones) a las observadas en 2021</w:t>
      </w:r>
      <w:r w:rsidR="00C6016C">
        <w:rPr>
          <w:rFonts w:cs="Times New Roman"/>
        </w:rPr>
        <w:t>. Por último,</w:t>
      </w:r>
      <w:r w:rsidR="00484CE8">
        <w:rPr>
          <w:rFonts w:cs="Times New Roman"/>
        </w:rPr>
        <w:t xml:space="preserve"> </w:t>
      </w:r>
      <w:r w:rsidR="00484CE8" w:rsidRPr="00954142">
        <w:rPr>
          <w:rFonts w:cs="Times New Roman"/>
        </w:rPr>
        <w:t>la erogación en vivienda y servicios comunitarios fue de Q4,146.4 millones creciendo en 6.0% (Q233.3 millones)</w:t>
      </w:r>
      <w:r w:rsidR="00E42D0A" w:rsidRPr="00954142">
        <w:rPr>
          <w:rFonts w:cs="Times New Roman"/>
        </w:rPr>
        <w:t>.</w:t>
      </w:r>
    </w:p>
    <w:p w14:paraId="152CF97B" w14:textId="146F3D22" w:rsidR="00840E88" w:rsidRPr="00954142" w:rsidRDefault="00840E88" w:rsidP="001B3E33">
      <w:pPr>
        <w:pStyle w:val="Ttulo1"/>
        <w:numPr>
          <w:ilvl w:val="0"/>
          <w:numId w:val="12"/>
        </w:numPr>
        <w:rPr>
          <w:lang w:val="es-ES_tradnl" w:eastAsia="es-ES"/>
        </w:rPr>
      </w:pPr>
      <w:bookmarkStart w:id="1170" w:name="_Toc136437485"/>
      <w:r w:rsidRPr="00954142">
        <w:rPr>
          <w:lang w:val="es-MX"/>
        </w:rPr>
        <w:t>Resultados</w:t>
      </w:r>
      <w:r w:rsidR="001B3E33" w:rsidRPr="00954142">
        <w:rPr>
          <w:lang w:val="es-ES_tradnl" w:eastAsia="es-ES"/>
        </w:rPr>
        <w:t xml:space="preserve"> Fiscales</w:t>
      </w:r>
      <w:bookmarkEnd w:id="1170"/>
    </w:p>
    <w:p w14:paraId="1B0B0861" w14:textId="7405193D" w:rsidR="00364844" w:rsidRPr="00954142" w:rsidRDefault="00BD6585" w:rsidP="001B3E33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1171" w:name="_Toc42069123"/>
      <w:bookmarkStart w:id="1172" w:name="_Toc49422069"/>
      <w:bookmarkStart w:id="1173" w:name="_Toc49422095"/>
      <w:bookmarkStart w:id="1174" w:name="_Toc49430674"/>
      <w:bookmarkStart w:id="1175" w:name="_Toc49430700"/>
      <w:bookmarkStart w:id="1176" w:name="_Toc49750477"/>
      <w:bookmarkStart w:id="1177" w:name="_Toc49750727"/>
      <w:bookmarkStart w:id="1178" w:name="_Toc49750755"/>
      <w:bookmarkStart w:id="1179" w:name="_Toc55284841"/>
      <w:bookmarkStart w:id="1180" w:name="_Toc55298859"/>
      <w:bookmarkStart w:id="1181" w:name="_Toc55373842"/>
      <w:bookmarkStart w:id="1182" w:name="_Toc55374018"/>
      <w:bookmarkStart w:id="1183" w:name="_Toc55375155"/>
      <w:bookmarkStart w:id="1184" w:name="_Toc55396563"/>
      <w:bookmarkStart w:id="1185" w:name="_Toc65230560"/>
      <w:bookmarkStart w:id="1186" w:name="_Toc65230798"/>
      <w:bookmarkStart w:id="1187" w:name="_Toc65232082"/>
      <w:bookmarkStart w:id="1188" w:name="_Toc65232327"/>
      <w:bookmarkStart w:id="1189" w:name="_Toc66716186"/>
      <w:bookmarkStart w:id="1190" w:name="_Toc71097230"/>
      <w:bookmarkStart w:id="1191" w:name="_Toc71097261"/>
      <w:bookmarkStart w:id="1192" w:name="_Toc71097336"/>
      <w:bookmarkStart w:id="1193" w:name="_Toc71108076"/>
      <w:bookmarkStart w:id="1194" w:name="_Toc79055270"/>
      <w:bookmarkStart w:id="1195" w:name="_Toc79055301"/>
      <w:bookmarkStart w:id="1196" w:name="_Toc79060192"/>
      <w:bookmarkStart w:id="1197" w:name="_Toc79060479"/>
      <w:bookmarkStart w:id="1198" w:name="_Toc81307836"/>
      <w:bookmarkStart w:id="1199" w:name="_Toc83376497"/>
      <w:bookmarkStart w:id="1200" w:name="_Toc86386736"/>
      <w:bookmarkStart w:id="1201" w:name="_Toc86405422"/>
      <w:bookmarkStart w:id="1202" w:name="_Toc98162452"/>
      <w:bookmarkStart w:id="1203" w:name="_Toc98162484"/>
      <w:bookmarkStart w:id="1204" w:name="_Toc98235010"/>
      <w:bookmarkStart w:id="1205" w:name="_Toc98235205"/>
      <w:bookmarkStart w:id="1206" w:name="_Toc98235290"/>
      <w:bookmarkStart w:id="1207" w:name="_Toc98757160"/>
      <w:bookmarkStart w:id="1208" w:name="_Toc101874715"/>
      <w:bookmarkStart w:id="1209" w:name="_Toc101954171"/>
      <w:bookmarkStart w:id="1210" w:name="_Toc101971988"/>
      <w:bookmarkStart w:id="1211" w:name="_Toc101974080"/>
      <w:bookmarkStart w:id="1212" w:name="_Toc102039765"/>
      <w:bookmarkStart w:id="1213" w:name="_Toc102039803"/>
      <w:bookmarkStart w:id="1214" w:name="_Toc102039843"/>
      <w:bookmarkStart w:id="1215" w:name="_Toc102039874"/>
      <w:bookmarkStart w:id="1216" w:name="_Toc102040932"/>
      <w:bookmarkStart w:id="1217" w:name="_Toc102477780"/>
      <w:bookmarkStart w:id="1218" w:name="_Toc102477811"/>
      <w:bookmarkStart w:id="1219" w:name="_Toc109824841"/>
      <w:bookmarkStart w:id="1220" w:name="_Toc109828797"/>
      <w:bookmarkStart w:id="1221" w:name="_Toc109828860"/>
      <w:bookmarkStart w:id="1222" w:name="_Toc109829036"/>
      <w:bookmarkStart w:id="1223" w:name="_Toc109829067"/>
      <w:bookmarkStart w:id="1224" w:name="_Toc109833911"/>
      <w:bookmarkStart w:id="1225" w:name="_Toc110237454"/>
      <w:bookmarkStart w:id="1226" w:name="_Toc117775331"/>
      <w:bookmarkStart w:id="1227" w:name="_Toc117781300"/>
      <w:bookmarkStart w:id="1228" w:name="_Toc125620828"/>
      <w:bookmarkStart w:id="1229" w:name="_Toc125620859"/>
      <w:bookmarkStart w:id="1230" w:name="_Toc125620890"/>
      <w:bookmarkStart w:id="1231" w:name="_Toc125620926"/>
      <w:bookmarkStart w:id="1232" w:name="_Toc125620957"/>
      <w:bookmarkStart w:id="1233" w:name="_Toc125620991"/>
      <w:bookmarkStart w:id="1234" w:name="_Toc125621044"/>
      <w:bookmarkStart w:id="1235" w:name="_Toc125621098"/>
      <w:bookmarkStart w:id="1236" w:name="_Toc125623576"/>
      <w:bookmarkStart w:id="1237" w:name="_Toc125623608"/>
      <w:bookmarkStart w:id="1238" w:name="_Toc125623640"/>
      <w:bookmarkStart w:id="1239" w:name="_Toc125970386"/>
      <w:bookmarkStart w:id="1240" w:name="_Toc125970418"/>
      <w:bookmarkStart w:id="1241" w:name="_Toc127365869"/>
      <w:bookmarkStart w:id="1242" w:name="_Toc127434620"/>
      <w:bookmarkStart w:id="1243" w:name="_Toc127436988"/>
      <w:bookmarkStart w:id="1244" w:name="_Toc127437349"/>
      <w:bookmarkStart w:id="1245" w:name="_Toc127437704"/>
      <w:bookmarkStart w:id="1246" w:name="_Toc136437486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r w:rsidRPr="00954142">
        <w:rPr>
          <w:rFonts w:cs="Times New Roman"/>
          <w:sz w:val="22"/>
          <w:szCs w:val="22"/>
        </w:rPr>
        <w:t>R</w:t>
      </w:r>
      <w:r w:rsidR="00540B30" w:rsidRPr="00954142">
        <w:rPr>
          <w:rFonts w:cs="Times New Roman"/>
          <w:sz w:val="22"/>
          <w:szCs w:val="22"/>
        </w:rPr>
        <w:t xml:space="preserve">esultado </w:t>
      </w:r>
      <w:r w:rsidR="003C3E6F" w:rsidRPr="00954142">
        <w:rPr>
          <w:rFonts w:cs="Times New Roman"/>
          <w:sz w:val="22"/>
          <w:szCs w:val="22"/>
        </w:rPr>
        <w:t>O</w:t>
      </w:r>
      <w:r w:rsidR="00540B30" w:rsidRPr="00954142">
        <w:rPr>
          <w:rFonts w:cs="Times New Roman"/>
          <w:sz w:val="22"/>
          <w:szCs w:val="22"/>
        </w:rPr>
        <w:t>perativo</w:t>
      </w:r>
      <w:bookmarkEnd w:id="1246"/>
      <w:r w:rsidR="00EE52DF" w:rsidRPr="00954142">
        <w:rPr>
          <w:rFonts w:cs="Times New Roman"/>
          <w:sz w:val="22"/>
          <w:szCs w:val="22"/>
        </w:rPr>
        <w:t xml:space="preserve"> </w:t>
      </w:r>
      <w:bookmarkEnd w:id="560"/>
    </w:p>
    <w:p w14:paraId="76EB91FF" w14:textId="243EE7A6" w:rsidR="00467409" w:rsidRPr="00954142" w:rsidRDefault="00467409" w:rsidP="00467409">
      <w:pPr>
        <w:rPr>
          <w:rFonts w:cs="Times New Roman"/>
        </w:rPr>
      </w:pPr>
      <w:r w:rsidRPr="00954142">
        <w:rPr>
          <w:rFonts w:cs="Times New Roman"/>
        </w:rPr>
        <w:t>El resultado operativo para el año 2022 fue positivo por Q9,13</w:t>
      </w:r>
      <w:r w:rsidR="00EC014C">
        <w:rPr>
          <w:rFonts w:cs="Times New Roman"/>
        </w:rPr>
        <w:t>6</w:t>
      </w:r>
      <w:r w:rsidRPr="00954142">
        <w:rPr>
          <w:rFonts w:cs="Times New Roman"/>
        </w:rPr>
        <w:t>.</w:t>
      </w:r>
      <w:r w:rsidR="005E7A02">
        <w:rPr>
          <w:rFonts w:cs="Times New Roman"/>
        </w:rPr>
        <w:t xml:space="preserve">3 </w:t>
      </w:r>
      <w:r w:rsidRPr="00954142">
        <w:rPr>
          <w:rFonts w:cs="Times New Roman"/>
        </w:rPr>
        <w:t xml:space="preserve">millones que, </w:t>
      </w:r>
      <w:r w:rsidR="006C4252" w:rsidRPr="00954142">
        <w:rPr>
          <w:rFonts w:cs="Times New Roman"/>
        </w:rPr>
        <w:t>en relación con el</w:t>
      </w:r>
      <w:r w:rsidRPr="00954142">
        <w:rPr>
          <w:rFonts w:cs="Times New Roman"/>
        </w:rPr>
        <w:t xml:space="preserve"> PIB equivale al 1.2%, mientras que, en el año inmediato anterior, </w:t>
      </w:r>
      <w:r w:rsidR="00113405">
        <w:rPr>
          <w:rFonts w:cs="Times New Roman"/>
        </w:rPr>
        <w:t>se había observado un resultado positivo por</w:t>
      </w:r>
      <w:r w:rsidRPr="00954142">
        <w:rPr>
          <w:rFonts w:cs="Times New Roman"/>
        </w:rPr>
        <w:t xml:space="preserve"> Q10,909.6 millones representando el 1.6% del PIB. </w:t>
      </w:r>
    </w:p>
    <w:p w14:paraId="464CD2FB" w14:textId="2A34A54E" w:rsidR="00467409" w:rsidRPr="00954142" w:rsidRDefault="00467409" w:rsidP="00467409">
      <w:pPr>
        <w:rPr>
          <w:rFonts w:cs="Times New Roman"/>
        </w:rPr>
      </w:pPr>
      <w:r w:rsidRPr="00954142">
        <w:rPr>
          <w:rFonts w:cs="Times New Roman"/>
        </w:rPr>
        <w:t xml:space="preserve">El resultado operativo primario (sin considerar el pago de intereses) mostró </w:t>
      </w:r>
      <w:r w:rsidR="00890634">
        <w:rPr>
          <w:rFonts w:cs="Times New Roman"/>
        </w:rPr>
        <w:t>un resultado positivo</w:t>
      </w:r>
      <w:r w:rsidRPr="00954142">
        <w:rPr>
          <w:rFonts w:cs="Times New Roman"/>
        </w:rPr>
        <w:t xml:space="preserve"> por Q20,14</w:t>
      </w:r>
      <w:r w:rsidR="005E7A02">
        <w:rPr>
          <w:rFonts w:cs="Times New Roman"/>
        </w:rPr>
        <w:t>2</w:t>
      </w:r>
      <w:r w:rsidRPr="00954142">
        <w:rPr>
          <w:rFonts w:cs="Times New Roman"/>
        </w:rPr>
        <w:t>.</w:t>
      </w:r>
      <w:r w:rsidR="005E7A02">
        <w:rPr>
          <w:rFonts w:cs="Times New Roman"/>
        </w:rPr>
        <w:t>4</w:t>
      </w:r>
      <w:r w:rsidRPr="00954142">
        <w:rPr>
          <w:rFonts w:cs="Times New Roman"/>
        </w:rPr>
        <w:t xml:space="preserve"> millones, equivalente 2.7% del PIB, mientras el año anterior había registrado el monto de Q21,212.5 millones, representando el 3.2% el PIB.</w:t>
      </w:r>
    </w:p>
    <w:p w14:paraId="0C721065" w14:textId="6D032A62" w:rsidR="00973029" w:rsidRPr="00954142" w:rsidRDefault="00973029" w:rsidP="0045490A">
      <w:pPr>
        <w:pStyle w:val="Sinespaciado"/>
        <w:jc w:val="both"/>
        <w:rPr>
          <w:rFonts w:ascii="Times New Roman" w:hAnsi="Times New Roman" w:cs="Times New Roman"/>
        </w:rPr>
      </w:pPr>
    </w:p>
    <w:p w14:paraId="10242320" w14:textId="69B325ED" w:rsidR="00374C59" w:rsidRPr="00954142" w:rsidRDefault="00B4032C" w:rsidP="001B3E33">
      <w:pPr>
        <w:pStyle w:val="Ttulo2"/>
        <w:numPr>
          <w:ilvl w:val="1"/>
          <w:numId w:val="12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1247" w:name="_Toc136437487"/>
      <w:r w:rsidRPr="00954142">
        <w:rPr>
          <w:rFonts w:cs="Times New Roman"/>
          <w:sz w:val="22"/>
          <w:szCs w:val="22"/>
        </w:rPr>
        <w:t>Endeudamiento Neto</w:t>
      </w:r>
      <w:bookmarkEnd w:id="1247"/>
    </w:p>
    <w:p w14:paraId="653162DB" w14:textId="7D049A13" w:rsidR="004911A4" w:rsidRPr="00954142" w:rsidRDefault="00813F62" w:rsidP="00EA2BD7">
      <w:pPr>
        <w:rPr>
          <w:rFonts w:cs="Times New Roman"/>
          <w:b/>
          <w:sz w:val="22"/>
          <w:szCs w:val="22"/>
          <w:lang w:val="es-MX"/>
        </w:rPr>
      </w:pPr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99204" behindDoc="0" locked="0" layoutInCell="1" allowOverlap="1" wp14:anchorId="622FD480" wp14:editId="2DE5DAAF">
            <wp:simplePos x="0" y="0"/>
            <wp:positionH relativeFrom="margin">
              <wp:align>center</wp:align>
            </wp:positionH>
            <wp:positionV relativeFrom="paragraph">
              <wp:posOffset>661281</wp:posOffset>
            </wp:positionV>
            <wp:extent cx="5899785" cy="1589405"/>
            <wp:effectExtent l="57150" t="0" r="100965" b="48895"/>
            <wp:wrapSquare wrapText="bothSides"/>
            <wp:docPr id="1805976380" name="Diagrama 18059763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BD7" w:rsidRPr="00954142">
        <w:rPr>
          <w:rFonts w:cs="Times New Roman"/>
        </w:rPr>
        <w:t>En 2022 el gobierno general tuvo un endeudamiento neto (déficit fiscal) de Q7,56</w:t>
      </w:r>
      <w:r w:rsidR="00FC4791">
        <w:rPr>
          <w:rFonts w:cs="Times New Roman"/>
        </w:rPr>
        <w:t>7</w:t>
      </w:r>
      <w:r w:rsidR="00EA2BD7" w:rsidRPr="00954142">
        <w:rPr>
          <w:rFonts w:cs="Times New Roman"/>
        </w:rPr>
        <w:t>.</w:t>
      </w:r>
      <w:r w:rsidR="00FC4791">
        <w:rPr>
          <w:rFonts w:cs="Times New Roman"/>
        </w:rPr>
        <w:t>3</w:t>
      </w:r>
      <w:r w:rsidR="00EA2BD7" w:rsidRPr="00954142">
        <w:rPr>
          <w:rFonts w:cs="Times New Roman"/>
        </w:rPr>
        <w:t xml:space="preserve"> equivalente al 1.0% del PIB, </w:t>
      </w:r>
      <w:r w:rsidR="006C60BC">
        <w:rPr>
          <w:rFonts w:cs="Times New Roman"/>
        </w:rPr>
        <w:t xml:space="preserve">y </w:t>
      </w:r>
      <w:r w:rsidR="00EA2BD7" w:rsidRPr="00954142">
        <w:rPr>
          <w:rFonts w:cs="Times New Roman"/>
        </w:rPr>
        <w:t>reflejando un resultado primario</w:t>
      </w:r>
      <w:r w:rsidR="0002503D">
        <w:rPr>
          <w:rFonts w:cs="Times New Roman"/>
        </w:rPr>
        <w:t xml:space="preserve"> (sin considerar el pago de intereses)</w:t>
      </w:r>
      <w:r w:rsidR="00EA2BD7" w:rsidRPr="00954142">
        <w:rPr>
          <w:rFonts w:cs="Times New Roman"/>
        </w:rPr>
        <w:t xml:space="preserve"> con superávit por Q3,4</w:t>
      </w:r>
      <w:r w:rsidR="00FC4791">
        <w:rPr>
          <w:rFonts w:cs="Times New Roman"/>
        </w:rPr>
        <w:t>38</w:t>
      </w:r>
      <w:r w:rsidR="00EA2BD7" w:rsidRPr="00954142">
        <w:rPr>
          <w:rFonts w:cs="Times New Roman"/>
        </w:rPr>
        <w:t>.</w:t>
      </w:r>
      <w:r w:rsidR="00CE70AA">
        <w:rPr>
          <w:rFonts w:cs="Times New Roman"/>
        </w:rPr>
        <w:t>8</w:t>
      </w:r>
      <w:r w:rsidR="00EA2BD7" w:rsidRPr="00954142">
        <w:rPr>
          <w:rFonts w:cs="Times New Roman"/>
        </w:rPr>
        <w:t xml:space="preserve"> millones que representa el 0.5% del PIB. </w:t>
      </w:r>
      <w:r w:rsidR="004911A4" w:rsidRPr="00954142">
        <w:rPr>
          <w:rFonts w:cs="Times New Roman"/>
          <w:b/>
          <w:sz w:val="22"/>
          <w:szCs w:val="22"/>
          <w:lang w:val="es-MX"/>
        </w:rPr>
        <w:br w:type="page"/>
      </w:r>
    </w:p>
    <w:p w14:paraId="020DDCB3" w14:textId="527BD3AC" w:rsidR="00264A75" w:rsidRPr="00954142" w:rsidRDefault="00264A75" w:rsidP="00522D73">
      <w:pPr>
        <w:pStyle w:val="Sinespaciado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lastRenderedPageBreak/>
        <w:t xml:space="preserve">Estado de </w:t>
      </w:r>
      <w:r w:rsidR="00697544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O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peraciones</w:t>
      </w:r>
      <w:r w:rsidR="007105EE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del Gobierno </w:t>
      </w:r>
      <w:r w:rsidR="009E6ABD">
        <w:rPr>
          <w:rFonts w:ascii="Times New Roman" w:hAnsi="Times New Roman" w:cs="Times New Roman"/>
          <w:b/>
          <w:bCs/>
          <w:sz w:val="22"/>
          <w:szCs w:val="22"/>
          <w:lang w:val="es-MX"/>
        </w:rPr>
        <w:t>General</w:t>
      </w:r>
    </w:p>
    <w:p w14:paraId="68D87BB8" w14:textId="788B618E" w:rsidR="007105EE" w:rsidRPr="00954142" w:rsidRDefault="007105EE" w:rsidP="00522D73">
      <w:pPr>
        <w:pStyle w:val="Sinespaciado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Cifras acumuladas a </w:t>
      </w:r>
      <w:r w:rsidR="009D416D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diciembre</w:t>
      </w:r>
      <w:r w:rsidR="0040363B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cada año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*</w:t>
      </w:r>
    </w:p>
    <w:p w14:paraId="3793E3FA" w14:textId="402859EF" w:rsidR="00A366A0" w:rsidRPr="00954142" w:rsidRDefault="00697544" w:rsidP="00522D73">
      <w:pPr>
        <w:pStyle w:val="Sinespaciado"/>
        <w:spacing w:before="0"/>
        <w:jc w:val="center"/>
        <w:rPr>
          <w:rFonts w:ascii="Times New Roman" w:hAnsi="Times New Roman" w:cs="Times New Roman"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sz w:val="22"/>
          <w:szCs w:val="22"/>
          <w:lang w:val="es-MX"/>
        </w:rPr>
        <w:t>En millones de Quetzales</w:t>
      </w:r>
      <w:r w:rsidR="00414C97" w:rsidRPr="00954142">
        <w:rPr>
          <w:rFonts w:ascii="Times New Roman" w:hAnsi="Times New Roman" w:cs="Times New Roman"/>
          <w:sz w:val="22"/>
          <w:szCs w:val="22"/>
          <w:lang w:val="es-MX"/>
        </w:rPr>
        <w:t xml:space="preserve"> y</w:t>
      </w:r>
      <w:r w:rsidR="0090006B" w:rsidRPr="00954142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414C97" w:rsidRPr="00954142">
        <w:rPr>
          <w:rFonts w:ascii="Times New Roman" w:hAnsi="Times New Roman" w:cs="Times New Roman"/>
          <w:sz w:val="22"/>
          <w:szCs w:val="22"/>
          <w:lang w:val="es-MX"/>
        </w:rPr>
        <w:t>Porcentajes</w:t>
      </w:r>
    </w:p>
    <w:p w14:paraId="05115692" w14:textId="77777777" w:rsidR="005F785D" w:rsidRPr="00954142" w:rsidRDefault="005F785D" w:rsidP="00522D73">
      <w:pPr>
        <w:pStyle w:val="Sinespaciado"/>
        <w:spacing w:before="0"/>
        <w:jc w:val="center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861"/>
        <w:gridCol w:w="861"/>
        <w:gridCol w:w="861"/>
        <w:gridCol w:w="941"/>
        <w:gridCol w:w="815"/>
        <w:gridCol w:w="709"/>
      </w:tblGrid>
      <w:tr w:rsidR="00355337" w:rsidRPr="00355337" w14:paraId="47758F5A" w14:textId="77777777" w:rsidTr="0025202B">
        <w:trPr>
          <w:trHeight w:val="264"/>
          <w:jc w:val="center"/>
        </w:trPr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44546A"/>
            <w:noWrap/>
            <w:vAlign w:val="center"/>
            <w:hideMark/>
          </w:tcPr>
          <w:p w14:paraId="776388F3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Descripción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089CE95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En millones de Q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546A"/>
            <w:vAlign w:val="center"/>
            <w:hideMark/>
          </w:tcPr>
          <w:p w14:paraId="01C71129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Variación Interanual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546A"/>
          </w:tcPr>
          <w:p w14:paraId="4CE9FC01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Como porcentaje del PIB</w:t>
            </w:r>
          </w:p>
        </w:tc>
      </w:tr>
      <w:tr w:rsidR="00355337" w:rsidRPr="00355337" w14:paraId="2102BB66" w14:textId="77777777" w:rsidTr="0025202B">
        <w:trPr>
          <w:trHeight w:val="264"/>
          <w:jc w:val="center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094A23" w14:textId="77777777" w:rsidR="00355337" w:rsidRPr="00355337" w:rsidRDefault="00355337" w:rsidP="00355337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736DDD67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58D3BD90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2022*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1C34F9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Absoluta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29115F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Relativa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18C25FA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899D810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2022*</w:t>
            </w:r>
          </w:p>
        </w:tc>
      </w:tr>
      <w:tr w:rsidR="0058478A" w:rsidRPr="00355337" w14:paraId="0E4CA9CB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0CE1" w14:textId="77777777" w:rsidR="0058478A" w:rsidRPr="00355337" w:rsidRDefault="0058478A" w:rsidP="0058478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INGRESO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888" w14:textId="1C697A41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107,714.0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400" w14:textId="7C1F2CAB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120,323.3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AFD" w14:textId="0035C990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12,609.3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EC31" w14:textId="609577EA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BFD4D" w14:textId="4BEFEB6F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433A" w14:textId="6B154029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16.3</w:t>
            </w:r>
          </w:p>
        </w:tc>
      </w:tr>
      <w:tr w:rsidR="0058478A" w:rsidRPr="00355337" w14:paraId="169FA3F4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A2F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Impuestos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D36" w14:textId="0F6728EE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80,858.7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16E" w14:textId="43110E9C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91,578.9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BCD" w14:textId="07917AEF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10,720.2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BD9" w14:textId="0B92DC8F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D8C67" w14:textId="47EBD5DF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001BE" w14:textId="5A1A7B5F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58478A" w:rsidRPr="00355337" w14:paraId="29FD1C8F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7786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Contribuciones sociales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05C8" w14:textId="2D15AC6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18,429.6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82AD" w14:textId="043033AC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19,760.7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974" w14:textId="1C21DDB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1,331.1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27A" w14:textId="64C86B93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C6C45" w14:textId="0D6995DB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66C3" w14:textId="6524F772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58478A" w:rsidRPr="00355337" w14:paraId="2D2448CA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6BFE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Donaciones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EB81" w14:textId="136B8637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283.6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3FF" w14:textId="2747AF48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7934" w14:textId="499EE47F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-124.4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204" w14:textId="6C0AE96B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-43.9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1F126" w14:textId="64C5A64A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D15A6" w14:textId="6A25F81A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58478A" w:rsidRPr="00355337" w14:paraId="58C4623A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2BCC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Otros ingresos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6B6" w14:textId="79CD8B9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8,142.1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9A5" w14:textId="4B76C07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8,824.5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D81" w14:textId="52C6DD1E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682.5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7A2E" w14:textId="37DAE9E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B1905" w14:textId="5934863A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9447" w14:textId="71959E33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58478A" w:rsidRPr="00355337" w14:paraId="4789D559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1D6C" w14:textId="77777777" w:rsidR="0058478A" w:rsidRPr="00355337" w:rsidRDefault="0058478A" w:rsidP="0058478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GASTO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D3F" w14:textId="76D8C0F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96,804.4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2FC1" w14:textId="2154CB0C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111,187.0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37E" w14:textId="50DFE7D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14,382.6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9AF9" w14:textId="7231683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C371E" w14:textId="05EEF2D4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730E" w14:textId="32FE71B7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15.1</w:t>
            </w:r>
          </w:p>
        </w:tc>
      </w:tr>
      <w:tr w:rsidR="0058478A" w:rsidRPr="00355337" w14:paraId="16CDE168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B84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Remuneración a los empleados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4CF" w14:textId="4B206C13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48,645.1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1955" w14:textId="4434C3C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50,767.6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D71" w14:textId="6D7ED071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2,122.4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A08A" w14:textId="2DA03D3A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8BBD4" w14:textId="22A3415F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8ADB" w14:textId="2F6F0BBE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58478A" w:rsidRPr="00355337" w14:paraId="35401EDE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1158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Uso de bienes y servicios 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081" w14:textId="42B498BA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19,521.0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68A9" w14:textId="226C4348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24,469.1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8B6" w14:textId="6336FF8D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4,948.1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EEC" w14:textId="486D202F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FD07F" w14:textId="0738B927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A442" w14:textId="46F830B7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58478A" w:rsidRPr="00355337" w14:paraId="544F99C2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88A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Intereses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853" w14:textId="33F7520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10,302.9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8B1A" w14:textId="0CF7EB79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11,006.1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1AD8" w14:textId="16F8424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A55D" w14:textId="730B9BD4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DB2E8" w14:textId="35611100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54B1E" w14:textId="162AD64D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58478A" w:rsidRPr="00355337" w14:paraId="583A874F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9BD8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Subsidios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6451" w14:textId="2B58EC20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433.4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4FC3" w14:textId="4F97A07C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3,425.5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F1F6" w14:textId="6D8ADE1C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2,992.0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99A" w14:textId="273ED200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690.3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96D9C" w14:textId="3F8E65F2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039E" w14:textId="2A628021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58478A" w:rsidRPr="00355337" w14:paraId="279612A7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C368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Donaciones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4139" w14:textId="350370F2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244.7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CBF" w14:textId="7C56BD73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516.0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9A95" w14:textId="1F315BE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271.3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461C" w14:textId="4B4EDB70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15CF1" w14:textId="12A7AC31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48F0" w14:textId="328BD376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58478A" w:rsidRPr="00355337" w14:paraId="560448AF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6FC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Prestaciones sociales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4FA" w14:textId="164253F9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11,812.0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B615" w14:textId="45FA1213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12,921.5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269B" w14:textId="4474E4FA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67C" w14:textId="1DF7C718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9BEC1" w14:textId="52BA5E8C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C7AE" w14:textId="2D97492E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58478A" w:rsidRPr="00355337" w14:paraId="15102708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3FAE" w14:textId="77777777" w:rsidR="0058478A" w:rsidRPr="00355337" w:rsidRDefault="0058478A" w:rsidP="0058478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Otros gastos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FBCF" w14:textId="4A11871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5,845.1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08F1" w14:textId="263B557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8,081.3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F01A" w14:textId="34DB3A9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2,236.2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D450" w14:textId="4D4C9947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D8C3C0" w14:textId="4E724078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A698D" w14:textId="3BBA7FCA" w:rsidR="0058478A" w:rsidRPr="0058478A" w:rsidRDefault="0058478A" w:rsidP="0058478A">
            <w:pPr>
              <w:spacing w:before="0" w:after="0"/>
              <w:jc w:val="center"/>
              <w:rPr>
                <w:sz w:val="16"/>
                <w:szCs w:val="16"/>
                <w:lang w:eastAsia="es-ES"/>
              </w:rPr>
            </w:pPr>
            <w:r w:rsidRPr="0058478A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58478A" w:rsidRPr="00355337" w14:paraId="378BE9C3" w14:textId="77777777" w:rsidTr="007B520E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B75" w14:textId="77777777" w:rsidR="0058478A" w:rsidRPr="00355337" w:rsidRDefault="0058478A" w:rsidP="0058478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Operativo Primario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0145" w14:textId="546301E0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21,212.5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7EC5" w14:textId="79E4B9C6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20,142.4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2914" w14:textId="68475B7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-1,070.1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21D" w14:textId="6DC7CD67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-5.0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CF82B" w14:textId="32ECC006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9091" w14:textId="7CC22D6B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2.7</w:t>
            </w:r>
          </w:p>
        </w:tc>
      </w:tr>
      <w:tr w:rsidR="0058478A" w:rsidRPr="00355337" w14:paraId="4ED03594" w14:textId="77777777" w:rsidTr="007B520E">
        <w:trPr>
          <w:trHeight w:val="264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A4A7" w14:textId="77777777" w:rsidR="0058478A" w:rsidRPr="00355337" w:rsidRDefault="0058478A" w:rsidP="0058478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Operativo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40BB" w14:textId="509CB694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10,909.6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A44" w14:textId="73A38235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9,136.3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E92" w14:textId="0C6DE99B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-1,773.3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5E6" w14:textId="0897B323" w:rsidR="0058478A" w:rsidRPr="00240F18" w:rsidRDefault="0058478A" w:rsidP="0058478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40F18">
              <w:rPr>
                <w:b/>
                <w:bCs/>
                <w:color w:val="000000"/>
                <w:sz w:val="16"/>
                <w:szCs w:val="16"/>
              </w:rPr>
              <w:t>-16.3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4D0C0" w14:textId="27B9F7FA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0134" w14:textId="379D1BBC" w:rsidR="0058478A" w:rsidRPr="0058478A" w:rsidRDefault="0058478A" w:rsidP="0058478A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</w:tr>
      <w:tr w:rsidR="00355337" w:rsidRPr="00355337" w14:paraId="33CA70EA" w14:textId="77777777" w:rsidTr="0025202B">
        <w:trPr>
          <w:trHeight w:val="264"/>
          <w:jc w:val="center"/>
        </w:trPr>
        <w:tc>
          <w:tcPr>
            <w:tcW w:w="6688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5B30" w14:textId="77777777" w:rsidR="00355337" w:rsidRPr="00355337" w:rsidRDefault="00355337" w:rsidP="00355337">
            <w:pPr>
              <w:spacing w:before="0" w:after="0"/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  <w:t>TRANSACCIONES EN ACTIVOS NO FINANCIEROS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04B13E8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color w:val="4472C4"/>
                <w:sz w:val="16"/>
                <w:szCs w:val="16"/>
                <w:lang w:eastAsia="es-GT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B479275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color w:val="4472C4"/>
                <w:sz w:val="16"/>
                <w:szCs w:val="16"/>
                <w:lang w:eastAsia="es-GT"/>
              </w:rPr>
            </w:pPr>
          </w:p>
        </w:tc>
      </w:tr>
      <w:tr w:rsidR="0021614A" w:rsidRPr="00355337" w14:paraId="7D4A6F52" w14:textId="77777777" w:rsidTr="0025202B">
        <w:trPr>
          <w:trHeight w:val="264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5C0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Inversión bruta en activos no financieros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14C" w14:textId="670DA60D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15,067.2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35D7" w14:textId="7A322AEB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16,703.6</w:t>
            </w:r>
          </w:p>
        </w:tc>
        <w:tc>
          <w:tcPr>
            <w:tcW w:w="861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BCA" w14:textId="7501E50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1,636.4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A78D" w14:textId="34466598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15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186AA" w14:textId="7929C20B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1BAC" w14:textId="4E6D491A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21614A" w:rsidRPr="00355337" w14:paraId="3ECD4FEF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4D3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Erogación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3C31" w14:textId="20F06D49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111,871.6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FFF7" w14:textId="28111397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127,890.6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A3E" w14:textId="777EE7E1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16,019.0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940" w14:textId="431AD069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EC0616" w14:textId="25D01AFA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27208" w14:textId="2DAD0186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17.4</w:t>
            </w:r>
          </w:p>
        </w:tc>
      </w:tr>
      <w:tr w:rsidR="0021614A" w:rsidRPr="00355337" w14:paraId="66E19F45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20C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Primario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887B" w14:textId="5BA6C4D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6,145.3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C4C" w14:textId="268D7957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3,438.8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507E" w14:textId="457E8EA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-2,706.5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C64C" w14:textId="2DD13B36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-44.0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D00E4" w14:textId="2F291D0D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7F5E7" w14:textId="22E6503E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</w:tr>
      <w:tr w:rsidR="0021614A" w:rsidRPr="00355337" w14:paraId="0EC27771" w14:textId="77777777" w:rsidTr="0025202B">
        <w:trPr>
          <w:trHeight w:val="264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F9BF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Préstamo (+) / endeudamiento (-)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2DD" w14:textId="00F7E0F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-4,157.6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9981" w14:textId="52C8890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-7,567.3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AEF2" w14:textId="6DD79199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-3,409.7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5E2" w14:textId="60495C0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F857D" w14:textId="571B76BB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0E5F4" w14:textId="3E526C09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-1.0</w:t>
            </w:r>
          </w:p>
        </w:tc>
      </w:tr>
      <w:tr w:rsidR="00355337" w:rsidRPr="00355337" w14:paraId="78E00F0F" w14:textId="77777777" w:rsidTr="0025202B">
        <w:trPr>
          <w:trHeight w:val="264"/>
          <w:jc w:val="center"/>
        </w:trPr>
        <w:tc>
          <w:tcPr>
            <w:tcW w:w="6688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ED90" w14:textId="77777777" w:rsidR="00355337" w:rsidRPr="00355337" w:rsidRDefault="00355337" w:rsidP="00355337">
            <w:pPr>
              <w:spacing w:before="0" w:after="0"/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  <w:t>TRANSACCIONES EN ACTIVOS Y PASIVOS FINANCIEROS (FINANCIMIENTO)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EE2910B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color w:val="4472C4"/>
                <w:sz w:val="16"/>
                <w:szCs w:val="16"/>
                <w:lang w:eastAsia="es-GT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4E323C4" w14:textId="77777777" w:rsidR="00355337" w:rsidRPr="00355337" w:rsidRDefault="00355337" w:rsidP="00355337">
            <w:pPr>
              <w:spacing w:before="0" w:after="0"/>
              <w:jc w:val="center"/>
              <w:rPr>
                <w:rFonts w:eastAsia="Times New Roman" w:cs="Times New Roman"/>
                <w:color w:val="4472C4"/>
                <w:sz w:val="16"/>
                <w:szCs w:val="16"/>
                <w:lang w:eastAsia="es-GT"/>
              </w:rPr>
            </w:pPr>
          </w:p>
        </w:tc>
      </w:tr>
      <w:tr w:rsidR="0021614A" w:rsidRPr="00355337" w14:paraId="1478A3CC" w14:textId="77777777" w:rsidTr="0025202B">
        <w:trPr>
          <w:trHeight w:val="264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220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Adquisición neta de activos financieros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633F" w14:textId="7D657562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15,262.2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37C2" w14:textId="3680691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-504.0</w:t>
            </w:r>
          </w:p>
        </w:tc>
        <w:tc>
          <w:tcPr>
            <w:tcW w:w="861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F72" w14:textId="745BDC21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-15,766.2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7674" w14:textId="6A5BE334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-103.3</w:t>
            </w:r>
          </w:p>
        </w:tc>
        <w:tc>
          <w:tcPr>
            <w:tcW w:w="815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02943" w14:textId="2FABF7C8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E97A" w14:textId="7CF2E414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-0.1</w:t>
            </w:r>
          </w:p>
        </w:tc>
      </w:tr>
      <w:tr w:rsidR="0021614A" w:rsidRPr="00355337" w14:paraId="476A2F8A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7E9B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Billetes monedas y depósitos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F4AD" w14:textId="3A99BCA2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11,801.2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7C6" w14:textId="3D35BE64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-2,822.0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FE1" w14:textId="15B3E08D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-14,623.2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003" w14:textId="76C8D78D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-123.9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6D28D" w14:textId="5858B9C5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2E70" w14:textId="2CC45E52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-0.38</w:t>
            </w:r>
          </w:p>
        </w:tc>
      </w:tr>
      <w:tr w:rsidR="0021614A" w:rsidRPr="00355337" w14:paraId="2AAF2D49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AB75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Préstamos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7AD" w14:textId="7BCC2838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0F54" w14:textId="632DED0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-100.4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B727" w14:textId="45DF433D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-104.7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F808" w14:textId="62A07CC2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-2,435.8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632D6" w14:textId="6D29B865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ECC0" w14:textId="69B9EFA2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-0.01</w:t>
            </w:r>
          </w:p>
        </w:tc>
      </w:tr>
      <w:tr w:rsidR="0021614A" w:rsidRPr="00355337" w14:paraId="0BD9E735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1174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Otros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100" w14:textId="240574C9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3,456.7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03D" w14:textId="3455434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2,418.4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BEF" w14:textId="1A4A84CB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-1,038.4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1F9D" w14:textId="05ADF39B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-30.0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8CA8A" w14:textId="15210FF9" w:rsidR="0021614A" w:rsidRPr="0021614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1614A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D764" w14:textId="1BDD9D95" w:rsidR="0021614A" w:rsidRPr="0021614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21614A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21614A" w:rsidRPr="00355337" w14:paraId="2A47555C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817E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Incurrimiento neto de pasivos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A32E" w14:textId="7AB45C73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18,960.1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E78" w14:textId="123C3F2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7,509.5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BBA" w14:textId="2733AAD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-11,450.6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B42" w14:textId="153EAEE5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-60.4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DB0E8" w14:textId="4AB9DD04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8642A" w14:textId="34442502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21614A" w:rsidRPr="00355337" w14:paraId="0EC3D796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6372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Títulos de deuda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C8A8" w14:textId="3F53E334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21,397.7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B05E" w14:textId="05FBEC0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5,520.0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01A" w14:textId="51B3B5BC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-15,877.7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2C7" w14:textId="7065FB0D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-74.2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52202" w14:textId="52BC1140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9F24" w14:textId="4302F7BC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21614A" w:rsidRPr="00355337" w14:paraId="739A1584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F1E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Préstamos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929" w14:textId="77AECA0C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-2,348.2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AA1" w14:textId="5A62C50E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1,511.1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1913" w14:textId="09EBDA35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3,859.3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A56D" w14:textId="120C7684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-164.4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110EC" w14:textId="28B4148F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3520" w14:textId="5DA78037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21614A" w:rsidRPr="00355337" w14:paraId="57168649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63C2" w14:textId="77777777" w:rsidR="0021614A" w:rsidRPr="00355337" w:rsidRDefault="0021614A" w:rsidP="0021614A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Otros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FE98" w14:textId="2F9453D6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-89.3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BD19" w14:textId="6AE856C8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478.4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448B" w14:textId="7A3EC1C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567.7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67E1" w14:textId="341E2EC7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color w:val="000000"/>
                <w:sz w:val="16"/>
                <w:szCs w:val="16"/>
              </w:rPr>
              <w:t>-635.5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90558" w14:textId="454EA472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DC4F" w14:textId="39BF4341" w:rsidR="0021614A" w:rsidRPr="0021614A" w:rsidRDefault="0021614A" w:rsidP="0021614A">
            <w:pPr>
              <w:spacing w:before="0" w:after="0"/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21614A" w:rsidRPr="00355337" w14:paraId="2C2BE4A1" w14:textId="77777777" w:rsidTr="0025202B">
        <w:trPr>
          <w:trHeight w:val="252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238" w14:textId="77777777" w:rsidR="0021614A" w:rsidRPr="00355337" w:rsidRDefault="0021614A" w:rsidP="0021614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Discrepancia estadística global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DB2" w14:textId="5081150A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459.7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0E13" w14:textId="3BADF96B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-446.3</w:t>
            </w:r>
          </w:p>
        </w:tc>
        <w:tc>
          <w:tcPr>
            <w:tcW w:w="861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4D8" w14:textId="4E4FCFF1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-906.0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796D" w14:textId="1C95B2C6" w:rsidR="0021614A" w:rsidRPr="0058478A" w:rsidRDefault="0021614A" w:rsidP="0021614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8478A">
              <w:rPr>
                <w:b/>
                <w:bCs/>
                <w:color w:val="000000"/>
                <w:sz w:val="16"/>
                <w:szCs w:val="16"/>
              </w:rPr>
              <w:t>-197.1</w:t>
            </w:r>
          </w:p>
        </w:tc>
        <w:tc>
          <w:tcPr>
            <w:tcW w:w="815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DEDBC" w14:textId="55B02631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4CC4" w14:textId="1E060949" w:rsidR="0021614A" w:rsidRPr="0021614A" w:rsidRDefault="0021614A" w:rsidP="0021614A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1614A">
              <w:rPr>
                <w:b/>
                <w:bCs/>
                <w:color w:val="000000"/>
                <w:sz w:val="16"/>
                <w:szCs w:val="16"/>
              </w:rPr>
              <w:t>-0.1</w:t>
            </w:r>
          </w:p>
        </w:tc>
      </w:tr>
    </w:tbl>
    <w:p w14:paraId="3350F89B" w14:textId="7F5F675D" w:rsidR="003C303F" w:rsidRPr="00954142" w:rsidRDefault="003C303F" w:rsidP="0021614A">
      <w:pPr>
        <w:pStyle w:val="Sinespaciado"/>
        <w:spacing w:before="0"/>
        <w:ind w:left="709"/>
        <w:rPr>
          <w:rFonts w:ascii="Times New Roman" w:hAnsi="Times New Roman" w:cs="Times New Roman"/>
          <w:sz w:val="16"/>
          <w:szCs w:val="16"/>
          <w:lang w:val="es-MX"/>
        </w:rPr>
      </w:pPr>
      <w:r w:rsidRPr="00954142">
        <w:rPr>
          <w:rFonts w:ascii="Times New Roman" w:hAnsi="Times New Roman" w:cs="Times New Roman"/>
          <w:sz w:val="16"/>
          <w:szCs w:val="16"/>
          <w:lang w:val="es-MX"/>
        </w:rPr>
        <w:t>*Cifras preliminares</w:t>
      </w:r>
    </w:p>
    <w:p w14:paraId="445E1632" w14:textId="77777777" w:rsidR="003C303F" w:rsidRPr="00FB4253" w:rsidRDefault="003C303F" w:rsidP="0021614A">
      <w:pPr>
        <w:pStyle w:val="Sinespaciado"/>
        <w:spacing w:before="0"/>
        <w:ind w:left="709"/>
        <w:rPr>
          <w:rFonts w:ascii="Times New Roman" w:hAnsi="Times New Roman" w:cs="Times New Roman"/>
          <w:sz w:val="16"/>
          <w:szCs w:val="16"/>
          <w:lang w:val="es-MX"/>
        </w:rPr>
      </w:pPr>
      <w:r w:rsidRPr="00954142">
        <w:rPr>
          <w:rFonts w:ascii="Times New Roman" w:hAnsi="Times New Roman" w:cs="Times New Roman"/>
          <w:sz w:val="16"/>
          <w:szCs w:val="16"/>
          <w:lang w:val="es-MX"/>
        </w:rPr>
        <w:t>Fuente: MINFIN</w:t>
      </w:r>
    </w:p>
    <w:p w14:paraId="6886455E" w14:textId="77777777" w:rsidR="006939D7" w:rsidRPr="004579E2" w:rsidRDefault="006939D7" w:rsidP="007105EE">
      <w:pPr>
        <w:ind w:left="1134"/>
        <w:rPr>
          <w:rFonts w:cs="Times New Roman"/>
          <w:sz w:val="22"/>
          <w:szCs w:val="22"/>
          <w:lang w:val="es-MX"/>
        </w:rPr>
      </w:pPr>
    </w:p>
    <w:sectPr w:rsidR="006939D7" w:rsidRPr="004579E2" w:rsidSect="0032077E">
      <w:headerReference w:type="default" r:id="rId49"/>
      <w:footerReference w:type="default" r:id="rId50"/>
      <w:headerReference w:type="first" r:id="rId51"/>
      <w:footerReference w:type="first" r:id="rId52"/>
      <w:type w:val="continuous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CFD0" w14:textId="77777777" w:rsidR="00A56BEE" w:rsidRDefault="00A56BEE" w:rsidP="000B5E1C">
      <w:r>
        <w:separator/>
      </w:r>
    </w:p>
  </w:endnote>
  <w:endnote w:type="continuationSeparator" w:id="0">
    <w:p w14:paraId="575BE29A" w14:textId="77777777" w:rsidR="00A56BEE" w:rsidRDefault="00A56BEE" w:rsidP="000B5E1C">
      <w:r>
        <w:continuationSeparator/>
      </w:r>
    </w:p>
  </w:endnote>
  <w:endnote w:type="continuationNotice" w:id="1">
    <w:p w14:paraId="5BD6C87A" w14:textId="77777777" w:rsidR="00A56BEE" w:rsidRDefault="00A56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EF9" w14:textId="285C8ACD" w:rsidR="000A5B5B" w:rsidRPr="00D90485" w:rsidRDefault="00D90485">
    <w:pPr>
      <w:pStyle w:val="Piedepgina"/>
      <w:jc w:val="right"/>
      <w:rPr>
        <w:rFonts w:cs="Times New Roman"/>
        <w:i/>
        <w:color w:val="FFFFFF" w:themeColor="background1"/>
      </w:rPr>
    </w:pPr>
    <w:r w:rsidRPr="00541048">
      <w:rPr>
        <w:rFonts w:cs="Times New Roman"/>
        <w:i/>
        <w:noProof/>
        <w:color w:val="FFFFFF" w:themeColor="background1"/>
        <w:lang w:eastAsia="es-GT"/>
      </w:rPr>
      <mc:AlternateContent>
        <mc:Choice Requires="wps">
          <w:drawing>
            <wp:anchor distT="0" distB="0" distL="114300" distR="114300" simplePos="0" relativeHeight="251662338" behindDoc="1" locked="0" layoutInCell="1" allowOverlap="1" wp14:anchorId="521885B3" wp14:editId="5C70F929">
              <wp:simplePos x="0" y="0"/>
              <wp:positionH relativeFrom="margin">
                <wp:posOffset>-1575</wp:posOffset>
              </wp:positionH>
              <wp:positionV relativeFrom="paragraph">
                <wp:posOffset>47549</wp:posOffset>
              </wp:positionV>
              <wp:extent cx="6001647" cy="425806"/>
              <wp:effectExtent l="57150" t="19050" r="75565" b="88900"/>
              <wp:wrapNone/>
              <wp:docPr id="853589062" name="4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6001647" cy="425806"/>
                      </a:xfrm>
                      <a:prstGeom prst="snip2SameRect">
                        <a:avLst>
                          <a:gd name="adj1" fmla="val 0"/>
                          <a:gd name="adj2" fmla="val 22812"/>
                        </a:avLst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29C069" w14:textId="77777777" w:rsidR="00D90485" w:rsidRPr="00D90485" w:rsidRDefault="00D90485" w:rsidP="00D90485">
                          <w:pPr>
                            <w:pStyle w:val="Piedepgina"/>
                            <w:tabs>
                              <w:tab w:val="clear" w:pos="8838"/>
                              <w:tab w:val="left" w:pos="5173"/>
                            </w:tabs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</w:pPr>
                          <w:r w:rsidRPr="00D90485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>Informe de las Finanzas Públicas – Año 2022</w:t>
                          </w:r>
                        </w:p>
                        <w:p w14:paraId="744DC8C2" w14:textId="0E8082E2" w:rsidR="004329D0" w:rsidRDefault="004329D0" w:rsidP="004329D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885B3" id="_x0000_s1029" style="position:absolute;left:0;text-align:left;margin-left:-.1pt;margin-top:3.75pt;width:472.55pt;height:33.55pt;rotation:180;flip:y;z-index:-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01647,4258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" adj="-11796480,,5400" path="m,l6001647,r,l6001647,328671r-97135,97135l97135,425806,,328671,,xe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troke joinstyle="miter"/>
              <v:shadow on="t" color="black" opacity="22937f" origin=",.5" offset="0,.63889mm"/>
              <v:formulas/>
              <v:path arrowok="t" o:connecttype="custom" o:connectlocs="0,0;6001647,0;6001647,0;6001647,328671;5904512,425806;97135,425806;0,328671;0,0" o:connectangles="0,0,0,0,0,0,0,0" textboxrect="0,0,6001647,425806"/>
              <v:textbox>
                <w:txbxContent>
                  <w:p w14:paraId="7329C069" w14:textId="77777777" w:rsidR="00D90485" w:rsidRPr="00D90485" w:rsidRDefault="00D90485" w:rsidP="00D90485">
                    <w:pPr>
                      <w:pStyle w:val="Piedepgina"/>
                      <w:tabs>
                        <w:tab w:val="clear" w:pos="8838"/>
                        <w:tab w:val="left" w:pos="5173"/>
                      </w:tabs>
                      <w:rPr>
                        <w:rFonts w:cs="Times New Roman"/>
                        <w:i/>
                        <w:color w:val="FFFFFF" w:themeColor="background1"/>
                      </w:rPr>
                    </w:pPr>
                    <w:r w:rsidRPr="00D90485">
                      <w:rPr>
                        <w:rFonts w:cs="Times New Roman"/>
                        <w:i/>
                        <w:color w:val="FFFFFF" w:themeColor="background1"/>
                      </w:rPr>
                      <w:t>Informe de las Finanzas Públicas – Año 2022</w:t>
                    </w:r>
                  </w:p>
                  <w:p w14:paraId="744DC8C2" w14:textId="0E8082E2" w:rsidR="004329D0" w:rsidRDefault="004329D0" w:rsidP="004329D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Times New Roman"/>
          <w:i/>
          <w:color w:val="FFFFFF" w:themeColor="background1"/>
          <w:lang w:val="es-ES"/>
        </w:rPr>
        <w:id w:val="1089358670"/>
        <w:docPartObj>
          <w:docPartGallery w:val="Page Numbers (Bottom of Page)"/>
          <w:docPartUnique/>
        </w:docPartObj>
      </w:sdtPr>
      <w:sdtContent>
        <w:r w:rsidR="000A5B5B" w:rsidRPr="00D90485">
          <w:rPr>
            <w:rFonts w:cs="Times New Roman"/>
            <w:i/>
            <w:color w:val="FFFFFF" w:themeColor="background1"/>
            <w:lang w:val="es-ES"/>
          </w:rPr>
          <w:t xml:space="preserve">Página | </w:t>
        </w:r>
        <w:r w:rsidR="000A5B5B" w:rsidRPr="00D90485">
          <w:rPr>
            <w:rFonts w:cs="Times New Roman"/>
            <w:i/>
            <w:color w:val="FFFFFF" w:themeColor="background1"/>
          </w:rPr>
          <w:fldChar w:fldCharType="begin"/>
        </w:r>
        <w:r w:rsidR="000A5B5B" w:rsidRPr="00D90485">
          <w:rPr>
            <w:rFonts w:cs="Times New Roman"/>
            <w:i/>
            <w:color w:val="FFFFFF" w:themeColor="background1"/>
          </w:rPr>
          <w:instrText>PAGE   \* MERGEFORMAT</w:instrText>
        </w:r>
        <w:r w:rsidR="000A5B5B" w:rsidRPr="00D90485">
          <w:rPr>
            <w:rFonts w:cs="Times New Roman"/>
            <w:i/>
            <w:color w:val="FFFFFF" w:themeColor="background1"/>
          </w:rPr>
          <w:fldChar w:fldCharType="separate"/>
        </w:r>
        <w:r w:rsidR="004A5583" w:rsidRPr="00D90485">
          <w:rPr>
            <w:rFonts w:cs="Times New Roman"/>
            <w:i/>
            <w:noProof/>
            <w:color w:val="FFFFFF" w:themeColor="background1"/>
            <w:lang w:val="es-ES"/>
          </w:rPr>
          <w:t>11</w:t>
        </w:r>
        <w:r w:rsidR="000A5B5B" w:rsidRPr="00D90485">
          <w:rPr>
            <w:rFonts w:cs="Times New Roman"/>
            <w:i/>
            <w:color w:val="FFFFFF" w:themeColor="background1"/>
          </w:rPr>
          <w:fldChar w:fldCharType="end"/>
        </w:r>
        <w:r w:rsidR="000A5B5B" w:rsidRPr="00D90485">
          <w:rPr>
            <w:rFonts w:cs="Times New Roman"/>
            <w:i/>
            <w:color w:val="FFFFFF" w:themeColor="background1"/>
            <w:lang w:val="es-ES"/>
          </w:rPr>
          <w:t xml:space="preserve"> </w:t>
        </w:r>
      </w:sdtContent>
    </w:sdt>
  </w:p>
  <w:p w14:paraId="3E2643A1" w14:textId="7513802B" w:rsidR="00902B34" w:rsidRDefault="00CD72C5" w:rsidP="00CD72C5">
    <w:pPr>
      <w:tabs>
        <w:tab w:val="left" w:pos="9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AF1" w14:textId="77777777" w:rsidR="000A5B5B" w:rsidRDefault="000A5B5B">
    <w:pPr>
      <w:pStyle w:val="Piedepgina"/>
    </w:pPr>
    <w:r>
      <w:rPr>
        <w:rFonts w:cs="Times New Roman"/>
        <w:i/>
        <w:noProof/>
        <w:color w:val="1F497D" w:themeColor="text2"/>
        <w:lang w:eastAsia="es-G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67F3FC" wp14:editId="2B07D3AE">
              <wp:simplePos x="0" y="0"/>
              <wp:positionH relativeFrom="column">
                <wp:posOffset>77580</wp:posOffset>
              </wp:positionH>
              <wp:positionV relativeFrom="paragraph">
                <wp:posOffset>-206568</wp:posOffset>
              </wp:positionV>
              <wp:extent cx="5931315" cy="47625"/>
              <wp:effectExtent l="0" t="0" r="12700" b="28575"/>
              <wp:wrapNone/>
              <wp:docPr id="45" name="4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15" cy="47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99000">
                            <a:schemeClr val="bg1">
                              <a:lumMod val="95000"/>
                            </a:schemeClr>
                          </a:gs>
                          <a:gs pos="89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B75CC4" id="45 Rectángulo" o:spid="_x0000_s1026" style="position:absolute;margin-left:6.1pt;margin-top:-16.25pt;width:467.05pt;height:3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" fillcolor="#8aabd3 [2132]" strokeweight="2pt">
              <v:fill color2="#f2f2f2 [3052]" rotate="t" angle="90" colors="0 #9ab5e4;50463f #c2d1ed;58327f #e1e8f5;64881f #f2f2f2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FF48" w14:textId="77777777" w:rsidR="00A56BEE" w:rsidRDefault="00A56BEE" w:rsidP="000B5E1C">
      <w:r>
        <w:separator/>
      </w:r>
    </w:p>
  </w:footnote>
  <w:footnote w:type="continuationSeparator" w:id="0">
    <w:p w14:paraId="3F13E119" w14:textId="77777777" w:rsidR="00A56BEE" w:rsidRDefault="00A56BEE" w:rsidP="000B5E1C">
      <w:r>
        <w:continuationSeparator/>
      </w:r>
    </w:p>
  </w:footnote>
  <w:footnote w:type="continuationNotice" w:id="1">
    <w:p w14:paraId="7BA237D5" w14:textId="77777777" w:rsidR="00A56BEE" w:rsidRDefault="00A56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714C" w14:textId="4F9466B7" w:rsidR="000A5B5B" w:rsidRPr="00AC45C7" w:rsidRDefault="002213CF" w:rsidP="00AC45C7">
    <w:pPr>
      <w:pStyle w:val="Encabezado"/>
      <w:jc w:val="right"/>
      <w:rPr>
        <w:rFonts w:cs="Times New Roman"/>
        <w:i/>
        <w:color w:val="1F497D" w:themeColor="text2"/>
      </w:rPr>
    </w:pPr>
    <w:r w:rsidRPr="00541048">
      <w:rPr>
        <w:rFonts w:cs="Times New Roman"/>
        <w:i/>
        <w:noProof/>
        <w:color w:val="FFFFFF" w:themeColor="background1"/>
        <w:lang w:eastAsia="es-G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6DEA52F" wp14:editId="46E53ED9">
              <wp:simplePos x="0" y="0"/>
              <wp:positionH relativeFrom="margin">
                <wp:posOffset>1189990</wp:posOffset>
              </wp:positionH>
              <wp:positionV relativeFrom="paragraph">
                <wp:posOffset>-100025</wp:posOffset>
              </wp:positionV>
              <wp:extent cx="4822088" cy="440574"/>
              <wp:effectExtent l="57150" t="19050" r="74295" b="93345"/>
              <wp:wrapNone/>
              <wp:docPr id="44" name="4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2088" cy="440574"/>
                      </a:xfrm>
                      <a:prstGeom prst="snip2Same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F5878" w14:textId="65FA1338" w:rsidR="006E6E90" w:rsidRDefault="006E6E90" w:rsidP="006E6E90">
                          <w:pPr>
                            <w:jc w:val="center"/>
                          </w:pPr>
                          <w:r w:rsidRPr="00541048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>Dirección de Análisis y Política Fiscal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EA52F" id="44 Rectángulo" o:spid="_x0000_s1028" style="position:absolute;left:0;text-align:left;margin-left:93.7pt;margin-top:-7.9pt;width:379.7pt;height:34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22088,440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" adj="-11796480,,5400" path="m73430,l4748658,r73430,73430l4822088,440574r,l,440574r,l,73430,73430,xe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troke joinstyle="miter"/>
              <v:shadow on="t" color="black" opacity="22937f" origin=",.5" offset="0,.63889mm"/>
              <v:formulas/>
              <v:path arrowok="t" o:connecttype="custom" o:connectlocs="73430,0;4748658,0;4822088,73430;4822088,440574;4822088,440574;0,440574;0,440574;0,73430;73430,0" o:connectangles="0,0,0,0,0,0,0,0,0" textboxrect="0,0,4822088,440574"/>
              <v:textbox>
                <w:txbxContent>
                  <w:p w14:paraId="122F5878" w14:textId="65FA1338" w:rsidR="006E6E90" w:rsidRDefault="006E6E90" w:rsidP="006E6E90">
                    <w:pPr>
                      <w:jc w:val="center"/>
                    </w:pPr>
                    <w:r w:rsidRPr="00541048">
                      <w:rPr>
                        <w:rFonts w:cs="Times New Roman"/>
                        <w:i/>
                        <w:color w:val="FFFFFF" w:themeColor="background1"/>
                      </w:rPr>
                      <w:t>Dirección de Análisis y Política Fiscal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C54" w:rsidRPr="00541048">
      <w:rPr>
        <w:noProof/>
        <w:color w:val="FFFFFF" w:themeColor="background1"/>
      </w:rPr>
      <w:drawing>
        <wp:anchor distT="0" distB="0" distL="114300" distR="114300" simplePos="0" relativeHeight="251660290" behindDoc="1" locked="0" layoutInCell="1" allowOverlap="1" wp14:anchorId="694B849B" wp14:editId="6CC52FD8">
          <wp:simplePos x="0" y="0"/>
          <wp:positionH relativeFrom="column">
            <wp:posOffset>-136222</wp:posOffset>
          </wp:positionH>
          <wp:positionV relativeFrom="paragraph">
            <wp:posOffset>-232410</wp:posOffset>
          </wp:positionV>
          <wp:extent cx="1403584" cy="736979"/>
          <wp:effectExtent l="0" t="0" r="0" b="0"/>
          <wp:wrapNone/>
          <wp:docPr id="1422846671" name="Imagen 142284667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922572" name="Imagen 86192257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584" cy="73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674F" w14:textId="77777777" w:rsidR="000A5B5B" w:rsidRPr="005329C2" w:rsidRDefault="000A5B5B" w:rsidP="00CB498E">
    <w:pPr>
      <w:pStyle w:val="Encabezado"/>
      <w:jc w:val="center"/>
      <w:rPr>
        <w:rFonts w:cs="Times New Roman"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9F2"/>
    <w:multiLevelType w:val="hybridMultilevel"/>
    <w:tmpl w:val="36DC13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60D"/>
    <w:multiLevelType w:val="hybridMultilevel"/>
    <w:tmpl w:val="5652F5FA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A32CD"/>
    <w:multiLevelType w:val="hybridMultilevel"/>
    <w:tmpl w:val="6818CF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E59"/>
    <w:multiLevelType w:val="hybridMultilevel"/>
    <w:tmpl w:val="F832278A"/>
    <w:lvl w:ilvl="0" w:tplc="4142F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6B5"/>
    <w:multiLevelType w:val="hybridMultilevel"/>
    <w:tmpl w:val="02E2FB34"/>
    <w:lvl w:ilvl="0" w:tplc="2E8286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248"/>
    <w:multiLevelType w:val="hybridMultilevel"/>
    <w:tmpl w:val="2E12EF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2B56"/>
    <w:multiLevelType w:val="hybridMultilevel"/>
    <w:tmpl w:val="60DAF5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372"/>
    <w:multiLevelType w:val="multilevel"/>
    <w:tmpl w:val="896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5232B"/>
    <w:multiLevelType w:val="hybridMultilevel"/>
    <w:tmpl w:val="E06C4B02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03721B"/>
    <w:multiLevelType w:val="multilevel"/>
    <w:tmpl w:val="432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05102"/>
    <w:multiLevelType w:val="hybridMultilevel"/>
    <w:tmpl w:val="FEA4A058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756652"/>
    <w:multiLevelType w:val="hybridMultilevel"/>
    <w:tmpl w:val="4C3CF3C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5E3C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3D32D9"/>
    <w:multiLevelType w:val="hybridMultilevel"/>
    <w:tmpl w:val="D6B8F3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09C0"/>
    <w:multiLevelType w:val="hybridMultilevel"/>
    <w:tmpl w:val="92F073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7D94"/>
    <w:multiLevelType w:val="hybridMultilevel"/>
    <w:tmpl w:val="D4A449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4AD2"/>
    <w:multiLevelType w:val="multilevel"/>
    <w:tmpl w:val="0C0A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E61988"/>
    <w:multiLevelType w:val="hybridMultilevel"/>
    <w:tmpl w:val="7D04A81C"/>
    <w:lvl w:ilvl="0" w:tplc="A1F83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44CF8"/>
    <w:multiLevelType w:val="hybridMultilevel"/>
    <w:tmpl w:val="39F4D9A0"/>
    <w:lvl w:ilvl="0" w:tplc="10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8A822C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A66356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FC0AC50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2F2C20D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76561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7B4C0E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FFBC65E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AD008E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9" w15:restartNumberingAfterBreak="0">
    <w:nsid w:val="3C7636C7"/>
    <w:multiLevelType w:val="hybridMultilevel"/>
    <w:tmpl w:val="F4A8584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E4675"/>
    <w:multiLevelType w:val="hybridMultilevel"/>
    <w:tmpl w:val="592A14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878AD"/>
    <w:multiLevelType w:val="multilevel"/>
    <w:tmpl w:val="6BE6B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3772FF"/>
    <w:multiLevelType w:val="multilevel"/>
    <w:tmpl w:val="B420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455B36"/>
    <w:multiLevelType w:val="hybridMultilevel"/>
    <w:tmpl w:val="2F9A9654"/>
    <w:lvl w:ilvl="0" w:tplc="DB6E8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7C29"/>
    <w:multiLevelType w:val="hybridMultilevel"/>
    <w:tmpl w:val="21D2FB3A"/>
    <w:lvl w:ilvl="0" w:tplc="100A0017">
      <w:start w:val="1"/>
      <w:numFmt w:val="lowerLetter"/>
      <w:lvlText w:val="%1)"/>
      <w:lvlJc w:val="left"/>
      <w:pPr>
        <w:ind w:left="1776" w:hanging="360"/>
      </w:p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23C077D"/>
    <w:multiLevelType w:val="multilevel"/>
    <w:tmpl w:val="432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777B9E"/>
    <w:multiLevelType w:val="hybridMultilevel"/>
    <w:tmpl w:val="3F0047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A1421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741E90"/>
    <w:multiLevelType w:val="multilevel"/>
    <w:tmpl w:val="58DEA22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B02801"/>
    <w:multiLevelType w:val="hybridMultilevel"/>
    <w:tmpl w:val="CDF2324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5F78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403D22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E5754F"/>
    <w:multiLevelType w:val="hybridMultilevel"/>
    <w:tmpl w:val="66D0A5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A7293"/>
    <w:multiLevelType w:val="hybridMultilevel"/>
    <w:tmpl w:val="574693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B22BF"/>
    <w:multiLevelType w:val="hybridMultilevel"/>
    <w:tmpl w:val="7D0EE6BA"/>
    <w:lvl w:ilvl="0" w:tplc="FD3A4A7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E267F"/>
    <w:multiLevelType w:val="hybridMultilevel"/>
    <w:tmpl w:val="B18CB37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D15BE"/>
    <w:multiLevelType w:val="multilevel"/>
    <w:tmpl w:val="E6A25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C3A2A"/>
    <w:multiLevelType w:val="hybridMultilevel"/>
    <w:tmpl w:val="36860404"/>
    <w:lvl w:ilvl="0" w:tplc="46F0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0B6EE">
      <w:start w:val="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E46F8">
      <w:start w:val="8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6D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2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3E5119"/>
    <w:multiLevelType w:val="hybridMultilevel"/>
    <w:tmpl w:val="D05E2C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5DA4"/>
    <w:multiLevelType w:val="hybridMultilevel"/>
    <w:tmpl w:val="E174D1C4"/>
    <w:lvl w:ilvl="0" w:tplc="80D27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7">
      <w:start w:val="1"/>
      <w:numFmt w:val="lowerLetter"/>
      <w:lvlText w:val="%2)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6333D"/>
    <w:multiLevelType w:val="hybridMultilevel"/>
    <w:tmpl w:val="C3B0B7D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85C45"/>
    <w:multiLevelType w:val="hybridMultilevel"/>
    <w:tmpl w:val="0C14AC04"/>
    <w:lvl w:ilvl="0" w:tplc="100A0017">
      <w:start w:val="1"/>
      <w:numFmt w:val="lowerLetter"/>
      <w:lvlText w:val="%1)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050691"/>
    <w:multiLevelType w:val="hybridMultilevel"/>
    <w:tmpl w:val="ED325860"/>
    <w:lvl w:ilvl="0" w:tplc="BDAE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473"/>
    <w:multiLevelType w:val="hybridMultilevel"/>
    <w:tmpl w:val="AFA85F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0913"/>
    <w:multiLevelType w:val="hybridMultilevel"/>
    <w:tmpl w:val="8D88FC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208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6665152">
    <w:abstractNumId w:val="28"/>
  </w:num>
  <w:num w:numId="2" w16cid:durableId="541400493">
    <w:abstractNumId w:val="26"/>
  </w:num>
  <w:num w:numId="3" w16cid:durableId="2146697823">
    <w:abstractNumId w:val="14"/>
  </w:num>
  <w:num w:numId="4" w16cid:durableId="1999454106">
    <w:abstractNumId w:val="13"/>
  </w:num>
  <w:num w:numId="5" w16cid:durableId="1429618752">
    <w:abstractNumId w:val="32"/>
  </w:num>
  <w:num w:numId="6" w16cid:durableId="1283800368">
    <w:abstractNumId w:val="43"/>
  </w:num>
  <w:num w:numId="7" w16cid:durableId="1117796502">
    <w:abstractNumId w:val="33"/>
  </w:num>
  <w:num w:numId="8" w16cid:durableId="1782995825">
    <w:abstractNumId w:val="5"/>
  </w:num>
  <w:num w:numId="9" w16cid:durableId="2004166830">
    <w:abstractNumId w:val="4"/>
  </w:num>
  <w:num w:numId="10" w16cid:durableId="2113894430">
    <w:abstractNumId w:val="21"/>
  </w:num>
  <w:num w:numId="11" w16cid:durableId="1256985611">
    <w:abstractNumId w:val="22"/>
  </w:num>
  <w:num w:numId="12" w16cid:durableId="2026402073">
    <w:abstractNumId w:val="25"/>
  </w:num>
  <w:num w:numId="13" w16cid:durableId="559947888">
    <w:abstractNumId w:val="34"/>
  </w:num>
  <w:num w:numId="14" w16cid:durableId="949355578">
    <w:abstractNumId w:val="29"/>
  </w:num>
  <w:num w:numId="15" w16cid:durableId="793476610">
    <w:abstractNumId w:val="8"/>
  </w:num>
  <w:num w:numId="16" w16cid:durableId="1803956943">
    <w:abstractNumId w:val="1"/>
  </w:num>
  <w:num w:numId="17" w16cid:durableId="831990966">
    <w:abstractNumId w:val="18"/>
  </w:num>
  <w:num w:numId="18" w16cid:durableId="1272468452">
    <w:abstractNumId w:val="24"/>
  </w:num>
  <w:num w:numId="19" w16cid:durableId="1813449471">
    <w:abstractNumId w:val="37"/>
  </w:num>
  <w:num w:numId="20" w16cid:durableId="1735658180">
    <w:abstractNumId w:val="17"/>
  </w:num>
  <w:num w:numId="21" w16cid:durableId="1364407100">
    <w:abstractNumId w:val="39"/>
  </w:num>
  <w:num w:numId="22" w16cid:durableId="1028292373">
    <w:abstractNumId w:val="41"/>
  </w:num>
  <w:num w:numId="23" w16cid:durableId="643899071">
    <w:abstractNumId w:val="16"/>
  </w:num>
  <w:num w:numId="24" w16cid:durableId="1004668595">
    <w:abstractNumId w:val="16"/>
  </w:num>
  <w:num w:numId="25" w16cid:durableId="1139882384">
    <w:abstractNumId w:val="10"/>
  </w:num>
  <w:num w:numId="26" w16cid:durableId="2010867113">
    <w:abstractNumId w:val="3"/>
  </w:num>
  <w:num w:numId="27" w16cid:durableId="418721838">
    <w:abstractNumId w:val="38"/>
  </w:num>
  <w:num w:numId="28" w16cid:durableId="985859722">
    <w:abstractNumId w:val="11"/>
  </w:num>
  <w:num w:numId="29" w16cid:durableId="834077617">
    <w:abstractNumId w:val="15"/>
  </w:num>
  <w:num w:numId="30" w16cid:durableId="1913468109">
    <w:abstractNumId w:val="42"/>
  </w:num>
  <w:num w:numId="31" w16cid:durableId="1584603352">
    <w:abstractNumId w:val="2"/>
  </w:num>
  <w:num w:numId="32" w16cid:durableId="3290092">
    <w:abstractNumId w:val="36"/>
  </w:num>
  <w:num w:numId="33" w16cid:durableId="661127301">
    <w:abstractNumId w:val="44"/>
  </w:num>
  <w:num w:numId="34" w16cid:durableId="1961255512">
    <w:abstractNumId w:val="20"/>
  </w:num>
  <w:num w:numId="35" w16cid:durableId="1520587670">
    <w:abstractNumId w:val="12"/>
  </w:num>
  <w:num w:numId="36" w16cid:durableId="13697443">
    <w:abstractNumId w:val="45"/>
  </w:num>
  <w:num w:numId="37" w16cid:durableId="492374595">
    <w:abstractNumId w:val="35"/>
  </w:num>
  <w:num w:numId="38" w16cid:durableId="482739683">
    <w:abstractNumId w:val="23"/>
  </w:num>
  <w:num w:numId="39" w16cid:durableId="367683731">
    <w:abstractNumId w:val="31"/>
  </w:num>
  <w:num w:numId="40" w16cid:durableId="2010255875">
    <w:abstractNumId w:val="7"/>
  </w:num>
  <w:num w:numId="41" w16cid:durableId="532571330">
    <w:abstractNumId w:val="27"/>
  </w:num>
  <w:num w:numId="42" w16cid:durableId="34281763">
    <w:abstractNumId w:val="30"/>
  </w:num>
  <w:num w:numId="43" w16cid:durableId="332345192">
    <w:abstractNumId w:val="9"/>
  </w:num>
  <w:num w:numId="44" w16cid:durableId="887490644">
    <w:abstractNumId w:val="6"/>
  </w:num>
  <w:num w:numId="45" w16cid:durableId="57872787">
    <w:abstractNumId w:val="40"/>
  </w:num>
  <w:num w:numId="46" w16cid:durableId="426390007">
    <w:abstractNumId w:val="19"/>
  </w:num>
  <w:num w:numId="47" w16cid:durableId="18773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8"/>
    <w:rsid w:val="00000188"/>
    <w:rsid w:val="000002AE"/>
    <w:rsid w:val="000003CC"/>
    <w:rsid w:val="00000530"/>
    <w:rsid w:val="00000926"/>
    <w:rsid w:val="00001278"/>
    <w:rsid w:val="000013F6"/>
    <w:rsid w:val="0000165C"/>
    <w:rsid w:val="0000167B"/>
    <w:rsid w:val="000019FB"/>
    <w:rsid w:val="00001B7A"/>
    <w:rsid w:val="00001ED4"/>
    <w:rsid w:val="00002881"/>
    <w:rsid w:val="00002B35"/>
    <w:rsid w:val="000032AE"/>
    <w:rsid w:val="000038B1"/>
    <w:rsid w:val="00003BA5"/>
    <w:rsid w:val="000045FB"/>
    <w:rsid w:val="00004DCF"/>
    <w:rsid w:val="00004F16"/>
    <w:rsid w:val="00005674"/>
    <w:rsid w:val="00005925"/>
    <w:rsid w:val="00005EB8"/>
    <w:rsid w:val="00006172"/>
    <w:rsid w:val="000065D5"/>
    <w:rsid w:val="0000665E"/>
    <w:rsid w:val="000073D2"/>
    <w:rsid w:val="00007F68"/>
    <w:rsid w:val="000108BE"/>
    <w:rsid w:val="00010D58"/>
    <w:rsid w:val="000115A2"/>
    <w:rsid w:val="000121A8"/>
    <w:rsid w:val="00012781"/>
    <w:rsid w:val="00012ACD"/>
    <w:rsid w:val="00012FB4"/>
    <w:rsid w:val="0001329E"/>
    <w:rsid w:val="000134F1"/>
    <w:rsid w:val="00013BEC"/>
    <w:rsid w:val="00013C44"/>
    <w:rsid w:val="00013ECF"/>
    <w:rsid w:val="00013FC9"/>
    <w:rsid w:val="00014246"/>
    <w:rsid w:val="0001429E"/>
    <w:rsid w:val="00014D0D"/>
    <w:rsid w:val="00014EAD"/>
    <w:rsid w:val="00014F25"/>
    <w:rsid w:val="00015107"/>
    <w:rsid w:val="00015370"/>
    <w:rsid w:val="00015674"/>
    <w:rsid w:val="00015AE5"/>
    <w:rsid w:val="00015CA7"/>
    <w:rsid w:val="00016805"/>
    <w:rsid w:val="00016CEF"/>
    <w:rsid w:val="000172F9"/>
    <w:rsid w:val="00017427"/>
    <w:rsid w:val="00017D51"/>
    <w:rsid w:val="00017FF6"/>
    <w:rsid w:val="00020904"/>
    <w:rsid w:val="0002091B"/>
    <w:rsid w:val="00020D03"/>
    <w:rsid w:val="00020F69"/>
    <w:rsid w:val="000212B0"/>
    <w:rsid w:val="0002188F"/>
    <w:rsid w:val="00021FD5"/>
    <w:rsid w:val="00022F9D"/>
    <w:rsid w:val="0002314E"/>
    <w:rsid w:val="00023745"/>
    <w:rsid w:val="000238F3"/>
    <w:rsid w:val="00023981"/>
    <w:rsid w:val="00023ADD"/>
    <w:rsid w:val="00023DC8"/>
    <w:rsid w:val="00024165"/>
    <w:rsid w:val="000245CA"/>
    <w:rsid w:val="00024BD6"/>
    <w:rsid w:val="00024BF7"/>
    <w:rsid w:val="00024DE4"/>
    <w:rsid w:val="00024FF6"/>
    <w:rsid w:val="0002503D"/>
    <w:rsid w:val="00025456"/>
    <w:rsid w:val="00025827"/>
    <w:rsid w:val="00025B90"/>
    <w:rsid w:val="0002670B"/>
    <w:rsid w:val="000267E3"/>
    <w:rsid w:val="00026985"/>
    <w:rsid w:val="00027A8F"/>
    <w:rsid w:val="00027D48"/>
    <w:rsid w:val="000306FE"/>
    <w:rsid w:val="000309EC"/>
    <w:rsid w:val="00031937"/>
    <w:rsid w:val="00031A96"/>
    <w:rsid w:val="00032230"/>
    <w:rsid w:val="0003257D"/>
    <w:rsid w:val="000326D8"/>
    <w:rsid w:val="00032B26"/>
    <w:rsid w:val="00033312"/>
    <w:rsid w:val="0003343E"/>
    <w:rsid w:val="00033638"/>
    <w:rsid w:val="00033A52"/>
    <w:rsid w:val="00033B15"/>
    <w:rsid w:val="00033DB1"/>
    <w:rsid w:val="00033E94"/>
    <w:rsid w:val="000347FD"/>
    <w:rsid w:val="00035952"/>
    <w:rsid w:val="00035C14"/>
    <w:rsid w:val="00035E51"/>
    <w:rsid w:val="00035FBB"/>
    <w:rsid w:val="00036843"/>
    <w:rsid w:val="000369C8"/>
    <w:rsid w:val="0003766B"/>
    <w:rsid w:val="000410C1"/>
    <w:rsid w:val="0004120F"/>
    <w:rsid w:val="00041776"/>
    <w:rsid w:val="0004212A"/>
    <w:rsid w:val="00042669"/>
    <w:rsid w:val="00042AA3"/>
    <w:rsid w:val="00043B88"/>
    <w:rsid w:val="000441F1"/>
    <w:rsid w:val="000449B7"/>
    <w:rsid w:val="00044AF8"/>
    <w:rsid w:val="000453CA"/>
    <w:rsid w:val="00045570"/>
    <w:rsid w:val="00045861"/>
    <w:rsid w:val="00045CD6"/>
    <w:rsid w:val="00046004"/>
    <w:rsid w:val="00046060"/>
    <w:rsid w:val="0004612F"/>
    <w:rsid w:val="00046E34"/>
    <w:rsid w:val="00046F9F"/>
    <w:rsid w:val="000476BB"/>
    <w:rsid w:val="000476F2"/>
    <w:rsid w:val="0004778B"/>
    <w:rsid w:val="00047AF2"/>
    <w:rsid w:val="000500D6"/>
    <w:rsid w:val="00050721"/>
    <w:rsid w:val="00051734"/>
    <w:rsid w:val="00051879"/>
    <w:rsid w:val="00051BBF"/>
    <w:rsid w:val="0005215A"/>
    <w:rsid w:val="00053482"/>
    <w:rsid w:val="00053A65"/>
    <w:rsid w:val="00053AD6"/>
    <w:rsid w:val="00053DB7"/>
    <w:rsid w:val="00053F58"/>
    <w:rsid w:val="0005529E"/>
    <w:rsid w:val="00055614"/>
    <w:rsid w:val="00055725"/>
    <w:rsid w:val="00055925"/>
    <w:rsid w:val="00055A1B"/>
    <w:rsid w:val="00055D08"/>
    <w:rsid w:val="00055DD0"/>
    <w:rsid w:val="00056E8E"/>
    <w:rsid w:val="000572DF"/>
    <w:rsid w:val="0005754C"/>
    <w:rsid w:val="00057827"/>
    <w:rsid w:val="00057B7D"/>
    <w:rsid w:val="00057EB8"/>
    <w:rsid w:val="00060E42"/>
    <w:rsid w:val="000617F8"/>
    <w:rsid w:val="00061975"/>
    <w:rsid w:val="00061E2E"/>
    <w:rsid w:val="0006231C"/>
    <w:rsid w:val="00062CBA"/>
    <w:rsid w:val="00062E16"/>
    <w:rsid w:val="00062ED8"/>
    <w:rsid w:val="00063068"/>
    <w:rsid w:val="00063364"/>
    <w:rsid w:val="00063373"/>
    <w:rsid w:val="00063A1D"/>
    <w:rsid w:val="00063CB5"/>
    <w:rsid w:val="000642AF"/>
    <w:rsid w:val="0006477B"/>
    <w:rsid w:val="00064BA9"/>
    <w:rsid w:val="00064EA8"/>
    <w:rsid w:val="00065259"/>
    <w:rsid w:val="00065451"/>
    <w:rsid w:val="000655A9"/>
    <w:rsid w:val="00065991"/>
    <w:rsid w:val="00065C24"/>
    <w:rsid w:val="0006603D"/>
    <w:rsid w:val="00066095"/>
    <w:rsid w:val="00066283"/>
    <w:rsid w:val="00066286"/>
    <w:rsid w:val="0006680E"/>
    <w:rsid w:val="00066CD1"/>
    <w:rsid w:val="00067459"/>
    <w:rsid w:val="00067741"/>
    <w:rsid w:val="000678AC"/>
    <w:rsid w:val="00067AD8"/>
    <w:rsid w:val="00067B4A"/>
    <w:rsid w:val="00070108"/>
    <w:rsid w:val="00070552"/>
    <w:rsid w:val="000705C1"/>
    <w:rsid w:val="000706ED"/>
    <w:rsid w:val="000707A3"/>
    <w:rsid w:val="00070899"/>
    <w:rsid w:val="00070A2D"/>
    <w:rsid w:val="00070E63"/>
    <w:rsid w:val="00071109"/>
    <w:rsid w:val="00071810"/>
    <w:rsid w:val="00071B55"/>
    <w:rsid w:val="00071CAF"/>
    <w:rsid w:val="00071DD6"/>
    <w:rsid w:val="00072136"/>
    <w:rsid w:val="00072BAA"/>
    <w:rsid w:val="00072C8D"/>
    <w:rsid w:val="0007319D"/>
    <w:rsid w:val="00073457"/>
    <w:rsid w:val="000736AA"/>
    <w:rsid w:val="000737A4"/>
    <w:rsid w:val="00073F0A"/>
    <w:rsid w:val="000740F4"/>
    <w:rsid w:val="000741A3"/>
    <w:rsid w:val="00074337"/>
    <w:rsid w:val="00074476"/>
    <w:rsid w:val="00074844"/>
    <w:rsid w:val="00074C38"/>
    <w:rsid w:val="00075216"/>
    <w:rsid w:val="000754D5"/>
    <w:rsid w:val="00076415"/>
    <w:rsid w:val="00076794"/>
    <w:rsid w:val="0007736A"/>
    <w:rsid w:val="00077425"/>
    <w:rsid w:val="0007767A"/>
    <w:rsid w:val="0008040F"/>
    <w:rsid w:val="0008050E"/>
    <w:rsid w:val="00080F11"/>
    <w:rsid w:val="00080F5E"/>
    <w:rsid w:val="00081A07"/>
    <w:rsid w:val="00082333"/>
    <w:rsid w:val="000823E4"/>
    <w:rsid w:val="0008278D"/>
    <w:rsid w:val="00082DFF"/>
    <w:rsid w:val="00082E65"/>
    <w:rsid w:val="00083239"/>
    <w:rsid w:val="0008334E"/>
    <w:rsid w:val="000836FF"/>
    <w:rsid w:val="0008380C"/>
    <w:rsid w:val="00083DEF"/>
    <w:rsid w:val="00083EE3"/>
    <w:rsid w:val="000846BE"/>
    <w:rsid w:val="00084748"/>
    <w:rsid w:val="000852BF"/>
    <w:rsid w:val="000853F6"/>
    <w:rsid w:val="000858E9"/>
    <w:rsid w:val="00085E1C"/>
    <w:rsid w:val="0008619F"/>
    <w:rsid w:val="000865AA"/>
    <w:rsid w:val="00086C6E"/>
    <w:rsid w:val="00087430"/>
    <w:rsid w:val="00087551"/>
    <w:rsid w:val="0008775B"/>
    <w:rsid w:val="00087EC1"/>
    <w:rsid w:val="00087EE1"/>
    <w:rsid w:val="00087EFB"/>
    <w:rsid w:val="00090202"/>
    <w:rsid w:val="00090AF4"/>
    <w:rsid w:val="00090C53"/>
    <w:rsid w:val="00091132"/>
    <w:rsid w:val="000918BC"/>
    <w:rsid w:val="00091942"/>
    <w:rsid w:val="00091A7F"/>
    <w:rsid w:val="00091E02"/>
    <w:rsid w:val="0009238C"/>
    <w:rsid w:val="00092A19"/>
    <w:rsid w:val="00093371"/>
    <w:rsid w:val="00093705"/>
    <w:rsid w:val="00093A1B"/>
    <w:rsid w:val="00093B3B"/>
    <w:rsid w:val="00094050"/>
    <w:rsid w:val="000944FE"/>
    <w:rsid w:val="00094A23"/>
    <w:rsid w:val="00094E26"/>
    <w:rsid w:val="0009511C"/>
    <w:rsid w:val="00095331"/>
    <w:rsid w:val="000958AF"/>
    <w:rsid w:val="00096497"/>
    <w:rsid w:val="00096AC3"/>
    <w:rsid w:val="00096FA6"/>
    <w:rsid w:val="00097862"/>
    <w:rsid w:val="00097889"/>
    <w:rsid w:val="000A09ED"/>
    <w:rsid w:val="000A1A0B"/>
    <w:rsid w:val="000A1AB2"/>
    <w:rsid w:val="000A1BF3"/>
    <w:rsid w:val="000A2C08"/>
    <w:rsid w:val="000A2D14"/>
    <w:rsid w:val="000A2D19"/>
    <w:rsid w:val="000A2D1D"/>
    <w:rsid w:val="000A424A"/>
    <w:rsid w:val="000A47FE"/>
    <w:rsid w:val="000A4A23"/>
    <w:rsid w:val="000A4AD2"/>
    <w:rsid w:val="000A5922"/>
    <w:rsid w:val="000A5B5B"/>
    <w:rsid w:val="000A5E16"/>
    <w:rsid w:val="000A5FC5"/>
    <w:rsid w:val="000A60A1"/>
    <w:rsid w:val="000A65D1"/>
    <w:rsid w:val="000A6C8D"/>
    <w:rsid w:val="000A74BA"/>
    <w:rsid w:val="000A7DD5"/>
    <w:rsid w:val="000A7E28"/>
    <w:rsid w:val="000B01D3"/>
    <w:rsid w:val="000B04CE"/>
    <w:rsid w:val="000B057B"/>
    <w:rsid w:val="000B072C"/>
    <w:rsid w:val="000B07D1"/>
    <w:rsid w:val="000B0866"/>
    <w:rsid w:val="000B0FCB"/>
    <w:rsid w:val="000B11B8"/>
    <w:rsid w:val="000B12F0"/>
    <w:rsid w:val="000B1376"/>
    <w:rsid w:val="000B1C5F"/>
    <w:rsid w:val="000B1E68"/>
    <w:rsid w:val="000B20C3"/>
    <w:rsid w:val="000B2992"/>
    <w:rsid w:val="000B29FE"/>
    <w:rsid w:val="000B2E7A"/>
    <w:rsid w:val="000B346C"/>
    <w:rsid w:val="000B3E87"/>
    <w:rsid w:val="000B404E"/>
    <w:rsid w:val="000B4083"/>
    <w:rsid w:val="000B4154"/>
    <w:rsid w:val="000B46D9"/>
    <w:rsid w:val="000B4929"/>
    <w:rsid w:val="000B4A3D"/>
    <w:rsid w:val="000B5075"/>
    <w:rsid w:val="000B5A6C"/>
    <w:rsid w:val="000B5CD0"/>
    <w:rsid w:val="000B5E1C"/>
    <w:rsid w:val="000B6143"/>
    <w:rsid w:val="000B6B1B"/>
    <w:rsid w:val="000B6D0C"/>
    <w:rsid w:val="000B72EA"/>
    <w:rsid w:val="000B75A4"/>
    <w:rsid w:val="000B76E1"/>
    <w:rsid w:val="000B778D"/>
    <w:rsid w:val="000C0275"/>
    <w:rsid w:val="000C0470"/>
    <w:rsid w:val="000C070B"/>
    <w:rsid w:val="000C0E21"/>
    <w:rsid w:val="000C10D5"/>
    <w:rsid w:val="000C18E5"/>
    <w:rsid w:val="000C1B89"/>
    <w:rsid w:val="000C1CC5"/>
    <w:rsid w:val="000C1F8D"/>
    <w:rsid w:val="000C204B"/>
    <w:rsid w:val="000C20CC"/>
    <w:rsid w:val="000C25EB"/>
    <w:rsid w:val="000C27C6"/>
    <w:rsid w:val="000C283B"/>
    <w:rsid w:val="000C3476"/>
    <w:rsid w:val="000C3496"/>
    <w:rsid w:val="000C3815"/>
    <w:rsid w:val="000C3E95"/>
    <w:rsid w:val="000C487F"/>
    <w:rsid w:val="000C4AD1"/>
    <w:rsid w:val="000C51BD"/>
    <w:rsid w:val="000C51D3"/>
    <w:rsid w:val="000C5320"/>
    <w:rsid w:val="000C54D3"/>
    <w:rsid w:val="000C5BA6"/>
    <w:rsid w:val="000C5BDD"/>
    <w:rsid w:val="000C662D"/>
    <w:rsid w:val="000C7076"/>
    <w:rsid w:val="000C71BD"/>
    <w:rsid w:val="000C795B"/>
    <w:rsid w:val="000C7961"/>
    <w:rsid w:val="000C7E9B"/>
    <w:rsid w:val="000D0188"/>
    <w:rsid w:val="000D1059"/>
    <w:rsid w:val="000D157D"/>
    <w:rsid w:val="000D15A1"/>
    <w:rsid w:val="000D17AF"/>
    <w:rsid w:val="000D2677"/>
    <w:rsid w:val="000D2952"/>
    <w:rsid w:val="000D29F4"/>
    <w:rsid w:val="000D2CF4"/>
    <w:rsid w:val="000D2D05"/>
    <w:rsid w:val="000D2DE9"/>
    <w:rsid w:val="000D2DF6"/>
    <w:rsid w:val="000D2F4D"/>
    <w:rsid w:val="000D34A3"/>
    <w:rsid w:val="000D3566"/>
    <w:rsid w:val="000D365F"/>
    <w:rsid w:val="000D3F6A"/>
    <w:rsid w:val="000D4B4D"/>
    <w:rsid w:val="000D4B80"/>
    <w:rsid w:val="000D4BC3"/>
    <w:rsid w:val="000D4CB3"/>
    <w:rsid w:val="000D515B"/>
    <w:rsid w:val="000D57BA"/>
    <w:rsid w:val="000D58D6"/>
    <w:rsid w:val="000D5BE8"/>
    <w:rsid w:val="000D734F"/>
    <w:rsid w:val="000D7477"/>
    <w:rsid w:val="000D7805"/>
    <w:rsid w:val="000D7EEB"/>
    <w:rsid w:val="000E0059"/>
    <w:rsid w:val="000E055B"/>
    <w:rsid w:val="000E058F"/>
    <w:rsid w:val="000E08B2"/>
    <w:rsid w:val="000E0D12"/>
    <w:rsid w:val="000E0DAA"/>
    <w:rsid w:val="000E0E1E"/>
    <w:rsid w:val="000E0EB5"/>
    <w:rsid w:val="000E0F3C"/>
    <w:rsid w:val="000E1495"/>
    <w:rsid w:val="000E193E"/>
    <w:rsid w:val="000E1D6B"/>
    <w:rsid w:val="000E296C"/>
    <w:rsid w:val="000E3036"/>
    <w:rsid w:val="000E306F"/>
    <w:rsid w:val="000E3B60"/>
    <w:rsid w:val="000E3BAE"/>
    <w:rsid w:val="000E3E7A"/>
    <w:rsid w:val="000E4641"/>
    <w:rsid w:val="000E488C"/>
    <w:rsid w:val="000E4E2E"/>
    <w:rsid w:val="000E51BC"/>
    <w:rsid w:val="000E56E2"/>
    <w:rsid w:val="000E5739"/>
    <w:rsid w:val="000E5997"/>
    <w:rsid w:val="000E5A40"/>
    <w:rsid w:val="000E5B2A"/>
    <w:rsid w:val="000E5CCD"/>
    <w:rsid w:val="000E5D0D"/>
    <w:rsid w:val="000E5EC7"/>
    <w:rsid w:val="000E5EE6"/>
    <w:rsid w:val="000E60F8"/>
    <w:rsid w:val="000E6989"/>
    <w:rsid w:val="000E7209"/>
    <w:rsid w:val="000E7387"/>
    <w:rsid w:val="000E79A8"/>
    <w:rsid w:val="000E7AE8"/>
    <w:rsid w:val="000F049B"/>
    <w:rsid w:val="000F058D"/>
    <w:rsid w:val="000F0DA3"/>
    <w:rsid w:val="000F118F"/>
    <w:rsid w:val="000F1214"/>
    <w:rsid w:val="000F19C1"/>
    <w:rsid w:val="000F211F"/>
    <w:rsid w:val="000F2939"/>
    <w:rsid w:val="000F2D5F"/>
    <w:rsid w:val="000F3450"/>
    <w:rsid w:val="000F3942"/>
    <w:rsid w:val="000F3AC7"/>
    <w:rsid w:val="000F41CA"/>
    <w:rsid w:val="000F4380"/>
    <w:rsid w:val="000F45C8"/>
    <w:rsid w:val="000F462B"/>
    <w:rsid w:val="000F4B0C"/>
    <w:rsid w:val="000F4F51"/>
    <w:rsid w:val="000F5067"/>
    <w:rsid w:val="000F53ED"/>
    <w:rsid w:val="000F55E5"/>
    <w:rsid w:val="000F62DA"/>
    <w:rsid w:val="000F7C74"/>
    <w:rsid w:val="001008B0"/>
    <w:rsid w:val="001009C9"/>
    <w:rsid w:val="00100D98"/>
    <w:rsid w:val="00100FAB"/>
    <w:rsid w:val="00101051"/>
    <w:rsid w:val="00101192"/>
    <w:rsid w:val="001012BA"/>
    <w:rsid w:val="001016EC"/>
    <w:rsid w:val="00101781"/>
    <w:rsid w:val="00101A90"/>
    <w:rsid w:val="00101FE5"/>
    <w:rsid w:val="0010220A"/>
    <w:rsid w:val="00102276"/>
    <w:rsid w:val="001023B3"/>
    <w:rsid w:val="001030E8"/>
    <w:rsid w:val="00103354"/>
    <w:rsid w:val="00103E94"/>
    <w:rsid w:val="00103FCC"/>
    <w:rsid w:val="001043AB"/>
    <w:rsid w:val="001057E4"/>
    <w:rsid w:val="00105C3B"/>
    <w:rsid w:val="00105CC5"/>
    <w:rsid w:val="00105EBF"/>
    <w:rsid w:val="00105FFE"/>
    <w:rsid w:val="001068D2"/>
    <w:rsid w:val="00106902"/>
    <w:rsid w:val="0010690C"/>
    <w:rsid w:val="00106959"/>
    <w:rsid w:val="001069AF"/>
    <w:rsid w:val="00106B8A"/>
    <w:rsid w:val="00106E19"/>
    <w:rsid w:val="00106EF4"/>
    <w:rsid w:val="0010734F"/>
    <w:rsid w:val="00107432"/>
    <w:rsid w:val="00107A66"/>
    <w:rsid w:val="00107B26"/>
    <w:rsid w:val="00107D8A"/>
    <w:rsid w:val="001100B3"/>
    <w:rsid w:val="00110318"/>
    <w:rsid w:val="001107CB"/>
    <w:rsid w:val="001108D7"/>
    <w:rsid w:val="001111A3"/>
    <w:rsid w:val="00111626"/>
    <w:rsid w:val="00111D58"/>
    <w:rsid w:val="00112008"/>
    <w:rsid w:val="00112A52"/>
    <w:rsid w:val="00112EB2"/>
    <w:rsid w:val="00113405"/>
    <w:rsid w:val="00113850"/>
    <w:rsid w:val="00113A1E"/>
    <w:rsid w:val="00113D53"/>
    <w:rsid w:val="00114083"/>
    <w:rsid w:val="0011428C"/>
    <w:rsid w:val="0011429F"/>
    <w:rsid w:val="001142BF"/>
    <w:rsid w:val="001144CE"/>
    <w:rsid w:val="00114548"/>
    <w:rsid w:val="00114555"/>
    <w:rsid w:val="001147A1"/>
    <w:rsid w:val="00115772"/>
    <w:rsid w:val="00115AE0"/>
    <w:rsid w:val="00116127"/>
    <w:rsid w:val="00116A12"/>
    <w:rsid w:val="00117AC8"/>
    <w:rsid w:val="00117DB5"/>
    <w:rsid w:val="001209E8"/>
    <w:rsid w:val="00120BFC"/>
    <w:rsid w:val="00120FEC"/>
    <w:rsid w:val="00121349"/>
    <w:rsid w:val="001214B6"/>
    <w:rsid w:val="00121649"/>
    <w:rsid w:val="00121A26"/>
    <w:rsid w:val="00121E60"/>
    <w:rsid w:val="00122043"/>
    <w:rsid w:val="0012258B"/>
    <w:rsid w:val="00122981"/>
    <w:rsid w:val="00122F2F"/>
    <w:rsid w:val="00122FDE"/>
    <w:rsid w:val="001234EA"/>
    <w:rsid w:val="0012357F"/>
    <w:rsid w:val="00123CB6"/>
    <w:rsid w:val="00125827"/>
    <w:rsid w:val="0012614D"/>
    <w:rsid w:val="0012656D"/>
    <w:rsid w:val="00126E0E"/>
    <w:rsid w:val="00126FD5"/>
    <w:rsid w:val="0012716A"/>
    <w:rsid w:val="001273C0"/>
    <w:rsid w:val="00127460"/>
    <w:rsid w:val="0012763E"/>
    <w:rsid w:val="001276C3"/>
    <w:rsid w:val="0012782F"/>
    <w:rsid w:val="0012783A"/>
    <w:rsid w:val="00127D46"/>
    <w:rsid w:val="00127FBD"/>
    <w:rsid w:val="00130BCE"/>
    <w:rsid w:val="001313C1"/>
    <w:rsid w:val="00131669"/>
    <w:rsid w:val="001318FD"/>
    <w:rsid w:val="00131ABF"/>
    <w:rsid w:val="00131D6C"/>
    <w:rsid w:val="00131D79"/>
    <w:rsid w:val="00131F1C"/>
    <w:rsid w:val="001323BD"/>
    <w:rsid w:val="00132DC4"/>
    <w:rsid w:val="00133083"/>
    <w:rsid w:val="0013422C"/>
    <w:rsid w:val="00134770"/>
    <w:rsid w:val="0013499D"/>
    <w:rsid w:val="00134A1A"/>
    <w:rsid w:val="00135143"/>
    <w:rsid w:val="00135308"/>
    <w:rsid w:val="001359D4"/>
    <w:rsid w:val="00135FB7"/>
    <w:rsid w:val="0013608E"/>
    <w:rsid w:val="00136243"/>
    <w:rsid w:val="00136AA1"/>
    <w:rsid w:val="00136F6F"/>
    <w:rsid w:val="001375AC"/>
    <w:rsid w:val="001401B1"/>
    <w:rsid w:val="001408F3"/>
    <w:rsid w:val="0014119A"/>
    <w:rsid w:val="00141216"/>
    <w:rsid w:val="0014145A"/>
    <w:rsid w:val="00141467"/>
    <w:rsid w:val="0014161C"/>
    <w:rsid w:val="00141CCF"/>
    <w:rsid w:val="00141D10"/>
    <w:rsid w:val="001427D5"/>
    <w:rsid w:val="0014299E"/>
    <w:rsid w:val="00142F42"/>
    <w:rsid w:val="00143321"/>
    <w:rsid w:val="00143517"/>
    <w:rsid w:val="00143578"/>
    <w:rsid w:val="001440DB"/>
    <w:rsid w:val="00144147"/>
    <w:rsid w:val="00144962"/>
    <w:rsid w:val="00144D8F"/>
    <w:rsid w:val="00145AE6"/>
    <w:rsid w:val="0014637C"/>
    <w:rsid w:val="00146B11"/>
    <w:rsid w:val="00146C6D"/>
    <w:rsid w:val="00146E1A"/>
    <w:rsid w:val="001470BF"/>
    <w:rsid w:val="0014747D"/>
    <w:rsid w:val="001479E4"/>
    <w:rsid w:val="00147A6B"/>
    <w:rsid w:val="00147BDC"/>
    <w:rsid w:val="00147BFA"/>
    <w:rsid w:val="00147D82"/>
    <w:rsid w:val="00147F55"/>
    <w:rsid w:val="001500AB"/>
    <w:rsid w:val="001504EE"/>
    <w:rsid w:val="00150748"/>
    <w:rsid w:val="00151A60"/>
    <w:rsid w:val="0015220B"/>
    <w:rsid w:val="00152237"/>
    <w:rsid w:val="0015275F"/>
    <w:rsid w:val="00152BD7"/>
    <w:rsid w:val="00152BDF"/>
    <w:rsid w:val="00153096"/>
    <w:rsid w:val="00153921"/>
    <w:rsid w:val="00153B8C"/>
    <w:rsid w:val="00153D01"/>
    <w:rsid w:val="00154995"/>
    <w:rsid w:val="00154AFD"/>
    <w:rsid w:val="0015532C"/>
    <w:rsid w:val="001554F9"/>
    <w:rsid w:val="0015588D"/>
    <w:rsid w:val="001559F9"/>
    <w:rsid w:val="00155DDA"/>
    <w:rsid w:val="001560C9"/>
    <w:rsid w:val="001565F1"/>
    <w:rsid w:val="001574E6"/>
    <w:rsid w:val="00157E39"/>
    <w:rsid w:val="0016015D"/>
    <w:rsid w:val="001604DC"/>
    <w:rsid w:val="001604E9"/>
    <w:rsid w:val="001605C0"/>
    <w:rsid w:val="00160909"/>
    <w:rsid w:val="00160BA5"/>
    <w:rsid w:val="001610AF"/>
    <w:rsid w:val="0016130F"/>
    <w:rsid w:val="001613DC"/>
    <w:rsid w:val="001614F2"/>
    <w:rsid w:val="00161C57"/>
    <w:rsid w:val="0016218B"/>
    <w:rsid w:val="001623FA"/>
    <w:rsid w:val="0016259E"/>
    <w:rsid w:val="001628C8"/>
    <w:rsid w:val="00162970"/>
    <w:rsid w:val="0016346E"/>
    <w:rsid w:val="00163B12"/>
    <w:rsid w:val="00163DED"/>
    <w:rsid w:val="0016414B"/>
    <w:rsid w:val="00164250"/>
    <w:rsid w:val="00164331"/>
    <w:rsid w:val="001650AC"/>
    <w:rsid w:val="001650EB"/>
    <w:rsid w:val="0016510F"/>
    <w:rsid w:val="00165B33"/>
    <w:rsid w:val="00165BF3"/>
    <w:rsid w:val="00165C20"/>
    <w:rsid w:val="00166CE0"/>
    <w:rsid w:val="00166E43"/>
    <w:rsid w:val="00166FAB"/>
    <w:rsid w:val="001672FB"/>
    <w:rsid w:val="001674F6"/>
    <w:rsid w:val="00167B5B"/>
    <w:rsid w:val="00167C01"/>
    <w:rsid w:val="001701AC"/>
    <w:rsid w:val="001703DF"/>
    <w:rsid w:val="0017086E"/>
    <w:rsid w:val="001708EB"/>
    <w:rsid w:val="00170E9D"/>
    <w:rsid w:val="00170F9B"/>
    <w:rsid w:val="001718B6"/>
    <w:rsid w:val="00172410"/>
    <w:rsid w:val="001728DE"/>
    <w:rsid w:val="00173552"/>
    <w:rsid w:val="00173633"/>
    <w:rsid w:val="00173790"/>
    <w:rsid w:val="00173979"/>
    <w:rsid w:val="00174404"/>
    <w:rsid w:val="00174CC9"/>
    <w:rsid w:val="00174F98"/>
    <w:rsid w:val="00175199"/>
    <w:rsid w:val="0017533D"/>
    <w:rsid w:val="001756B6"/>
    <w:rsid w:val="00175806"/>
    <w:rsid w:val="00175DBD"/>
    <w:rsid w:val="001765BE"/>
    <w:rsid w:val="00176655"/>
    <w:rsid w:val="00176A38"/>
    <w:rsid w:val="00177A7B"/>
    <w:rsid w:val="00180370"/>
    <w:rsid w:val="00180579"/>
    <w:rsid w:val="0018117D"/>
    <w:rsid w:val="00181854"/>
    <w:rsid w:val="00181AAA"/>
    <w:rsid w:val="00181AC7"/>
    <w:rsid w:val="00181E8C"/>
    <w:rsid w:val="0018221E"/>
    <w:rsid w:val="001822D3"/>
    <w:rsid w:val="001826A8"/>
    <w:rsid w:val="00182971"/>
    <w:rsid w:val="00182B79"/>
    <w:rsid w:val="00182E81"/>
    <w:rsid w:val="001832CB"/>
    <w:rsid w:val="001838CB"/>
    <w:rsid w:val="00183B3E"/>
    <w:rsid w:val="00183D01"/>
    <w:rsid w:val="00183EC1"/>
    <w:rsid w:val="00183EF6"/>
    <w:rsid w:val="00184554"/>
    <w:rsid w:val="001846A0"/>
    <w:rsid w:val="00184930"/>
    <w:rsid w:val="0018507E"/>
    <w:rsid w:val="00185191"/>
    <w:rsid w:val="001859F8"/>
    <w:rsid w:val="001864AB"/>
    <w:rsid w:val="00186ACF"/>
    <w:rsid w:val="00186F1E"/>
    <w:rsid w:val="00190258"/>
    <w:rsid w:val="001906F4"/>
    <w:rsid w:val="00190C51"/>
    <w:rsid w:val="00190FE8"/>
    <w:rsid w:val="00191BA7"/>
    <w:rsid w:val="0019223F"/>
    <w:rsid w:val="00192264"/>
    <w:rsid w:val="001927C6"/>
    <w:rsid w:val="001932CF"/>
    <w:rsid w:val="00193413"/>
    <w:rsid w:val="00193495"/>
    <w:rsid w:val="00193510"/>
    <w:rsid w:val="00193923"/>
    <w:rsid w:val="00193B3F"/>
    <w:rsid w:val="00193F01"/>
    <w:rsid w:val="00195129"/>
    <w:rsid w:val="00196244"/>
    <w:rsid w:val="00196269"/>
    <w:rsid w:val="00196296"/>
    <w:rsid w:val="001965C3"/>
    <w:rsid w:val="0019663D"/>
    <w:rsid w:val="00196B0B"/>
    <w:rsid w:val="00197385"/>
    <w:rsid w:val="00197631"/>
    <w:rsid w:val="001979A1"/>
    <w:rsid w:val="00197C75"/>
    <w:rsid w:val="001A0005"/>
    <w:rsid w:val="001A00C9"/>
    <w:rsid w:val="001A022D"/>
    <w:rsid w:val="001A06FB"/>
    <w:rsid w:val="001A16C4"/>
    <w:rsid w:val="001A1804"/>
    <w:rsid w:val="001A1C67"/>
    <w:rsid w:val="001A1D21"/>
    <w:rsid w:val="001A1E5E"/>
    <w:rsid w:val="001A20FB"/>
    <w:rsid w:val="001A2E9A"/>
    <w:rsid w:val="001A2EF4"/>
    <w:rsid w:val="001A30CA"/>
    <w:rsid w:val="001A3807"/>
    <w:rsid w:val="001A3C9A"/>
    <w:rsid w:val="001A3DAA"/>
    <w:rsid w:val="001A4726"/>
    <w:rsid w:val="001A47B1"/>
    <w:rsid w:val="001A4D7B"/>
    <w:rsid w:val="001A5253"/>
    <w:rsid w:val="001A5694"/>
    <w:rsid w:val="001A6717"/>
    <w:rsid w:val="001A683F"/>
    <w:rsid w:val="001A6FDA"/>
    <w:rsid w:val="001A708A"/>
    <w:rsid w:val="001A70BA"/>
    <w:rsid w:val="001A7138"/>
    <w:rsid w:val="001A7605"/>
    <w:rsid w:val="001A76BF"/>
    <w:rsid w:val="001A7B54"/>
    <w:rsid w:val="001A7B66"/>
    <w:rsid w:val="001B0B04"/>
    <w:rsid w:val="001B0E18"/>
    <w:rsid w:val="001B0E2C"/>
    <w:rsid w:val="001B1571"/>
    <w:rsid w:val="001B1821"/>
    <w:rsid w:val="001B1E40"/>
    <w:rsid w:val="001B21B7"/>
    <w:rsid w:val="001B285E"/>
    <w:rsid w:val="001B2897"/>
    <w:rsid w:val="001B2958"/>
    <w:rsid w:val="001B29CF"/>
    <w:rsid w:val="001B2B19"/>
    <w:rsid w:val="001B2CE4"/>
    <w:rsid w:val="001B2E72"/>
    <w:rsid w:val="001B3A8F"/>
    <w:rsid w:val="001B3C43"/>
    <w:rsid w:val="001B3D4D"/>
    <w:rsid w:val="001B3E33"/>
    <w:rsid w:val="001B3FE3"/>
    <w:rsid w:val="001B423D"/>
    <w:rsid w:val="001B491E"/>
    <w:rsid w:val="001B4D15"/>
    <w:rsid w:val="001B55B2"/>
    <w:rsid w:val="001B5DE7"/>
    <w:rsid w:val="001B61DF"/>
    <w:rsid w:val="001B631F"/>
    <w:rsid w:val="001B65BA"/>
    <w:rsid w:val="001B65C3"/>
    <w:rsid w:val="001B6A91"/>
    <w:rsid w:val="001B6D43"/>
    <w:rsid w:val="001B71EE"/>
    <w:rsid w:val="001B7969"/>
    <w:rsid w:val="001B7BC8"/>
    <w:rsid w:val="001B7EA5"/>
    <w:rsid w:val="001C0194"/>
    <w:rsid w:val="001C0332"/>
    <w:rsid w:val="001C0450"/>
    <w:rsid w:val="001C0F2D"/>
    <w:rsid w:val="001C0FBC"/>
    <w:rsid w:val="001C19CB"/>
    <w:rsid w:val="001C1B0B"/>
    <w:rsid w:val="001C1F0C"/>
    <w:rsid w:val="001C29A0"/>
    <w:rsid w:val="001C2DA4"/>
    <w:rsid w:val="001C2E49"/>
    <w:rsid w:val="001C336B"/>
    <w:rsid w:val="001C34B5"/>
    <w:rsid w:val="001C353B"/>
    <w:rsid w:val="001C3561"/>
    <w:rsid w:val="001C3932"/>
    <w:rsid w:val="001C3AE9"/>
    <w:rsid w:val="001C3C74"/>
    <w:rsid w:val="001C3CED"/>
    <w:rsid w:val="001C3E21"/>
    <w:rsid w:val="001C41AB"/>
    <w:rsid w:val="001C475F"/>
    <w:rsid w:val="001C4E87"/>
    <w:rsid w:val="001C508F"/>
    <w:rsid w:val="001C5217"/>
    <w:rsid w:val="001C54EC"/>
    <w:rsid w:val="001C55F6"/>
    <w:rsid w:val="001C5F1C"/>
    <w:rsid w:val="001C6301"/>
    <w:rsid w:val="001C677D"/>
    <w:rsid w:val="001C7576"/>
    <w:rsid w:val="001C76CC"/>
    <w:rsid w:val="001C788D"/>
    <w:rsid w:val="001C7C09"/>
    <w:rsid w:val="001D0130"/>
    <w:rsid w:val="001D016C"/>
    <w:rsid w:val="001D0440"/>
    <w:rsid w:val="001D0A7D"/>
    <w:rsid w:val="001D10C0"/>
    <w:rsid w:val="001D1179"/>
    <w:rsid w:val="001D17CB"/>
    <w:rsid w:val="001D1A94"/>
    <w:rsid w:val="001D1C90"/>
    <w:rsid w:val="001D1C9B"/>
    <w:rsid w:val="001D1D27"/>
    <w:rsid w:val="001D2C47"/>
    <w:rsid w:val="001D2C62"/>
    <w:rsid w:val="001D2F66"/>
    <w:rsid w:val="001D37C1"/>
    <w:rsid w:val="001D41AC"/>
    <w:rsid w:val="001D47C7"/>
    <w:rsid w:val="001D4B18"/>
    <w:rsid w:val="001D54E4"/>
    <w:rsid w:val="001D64B0"/>
    <w:rsid w:val="001D6D16"/>
    <w:rsid w:val="001D708B"/>
    <w:rsid w:val="001D73AE"/>
    <w:rsid w:val="001D758E"/>
    <w:rsid w:val="001E06F3"/>
    <w:rsid w:val="001E0870"/>
    <w:rsid w:val="001E0EF9"/>
    <w:rsid w:val="001E130A"/>
    <w:rsid w:val="001E13D9"/>
    <w:rsid w:val="001E13DE"/>
    <w:rsid w:val="001E1AAB"/>
    <w:rsid w:val="001E1FE1"/>
    <w:rsid w:val="001E23DC"/>
    <w:rsid w:val="001E2C3C"/>
    <w:rsid w:val="001E3041"/>
    <w:rsid w:val="001E331B"/>
    <w:rsid w:val="001E36E3"/>
    <w:rsid w:val="001E390B"/>
    <w:rsid w:val="001E40E6"/>
    <w:rsid w:val="001E4277"/>
    <w:rsid w:val="001E4671"/>
    <w:rsid w:val="001E47B8"/>
    <w:rsid w:val="001E4C34"/>
    <w:rsid w:val="001E4D39"/>
    <w:rsid w:val="001E4E3D"/>
    <w:rsid w:val="001E5588"/>
    <w:rsid w:val="001E599B"/>
    <w:rsid w:val="001E5D28"/>
    <w:rsid w:val="001E62DA"/>
    <w:rsid w:val="001E7182"/>
    <w:rsid w:val="001E71BF"/>
    <w:rsid w:val="001E7E64"/>
    <w:rsid w:val="001F07B8"/>
    <w:rsid w:val="001F0FAB"/>
    <w:rsid w:val="001F135F"/>
    <w:rsid w:val="001F144F"/>
    <w:rsid w:val="001F1968"/>
    <w:rsid w:val="001F1AB6"/>
    <w:rsid w:val="001F1BB6"/>
    <w:rsid w:val="001F2354"/>
    <w:rsid w:val="001F25FC"/>
    <w:rsid w:val="001F2638"/>
    <w:rsid w:val="001F265E"/>
    <w:rsid w:val="001F2E5B"/>
    <w:rsid w:val="001F3125"/>
    <w:rsid w:val="001F3522"/>
    <w:rsid w:val="001F3668"/>
    <w:rsid w:val="001F3B9A"/>
    <w:rsid w:val="001F3D1E"/>
    <w:rsid w:val="001F43AE"/>
    <w:rsid w:val="001F488D"/>
    <w:rsid w:val="001F4E44"/>
    <w:rsid w:val="001F5147"/>
    <w:rsid w:val="001F5A10"/>
    <w:rsid w:val="001F66A7"/>
    <w:rsid w:val="001F67A2"/>
    <w:rsid w:val="001F6B83"/>
    <w:rsid w:val="001F7025"/>
    <w:rsid w:val="001F7159"/>
    <w:rsid w:val="001F71DC"/>
    <w:rsid w:val="001F7309"/>
    <w:rsid w:val="001F742E"/>
    <w:rsid w:val="001F795A"/>
    <w:rsid w:val="00200036"/>
    <w:rsid w:val="00200099"/>
    <w:rsid w:val="0020052E"/>
    <w:rsid w:val="002005A3"/>
    <w:rsid w:val="002005AD"/>
    <w:rsid w:val="002006B9"/>
    <w:rsid w:val="002010C5"/>
    <w:rsid w:val="0020110D"/>
    <w:rsid w:val="00201159"/>
    <w:rsid w:val="0020176B"/>
    <w:rsid w:val="002018EA"/>
    <w:rsid w:val="00201941"/>
    <w:rsid w:val="0020195F"/>
    <w:rsid w:val="002019BE"/>
    <w:rsid w:val="002019FF"/>
    <w:rsid w:val="00201C51"/>
    <w:rsid w:val="00201CD8"/>
    <w:rsid w:val="0020227E"/>
    <w:rsid w:val="00203326"/>
    <w:rsid w:val="00203672"/>
    <w:rsid w:val="00203ADF"/>
    <w:rsid w:val="00203C93"/>
    <w:rsid w:val="002043B3"/>
    <w:rsid w:val="00204580"/>
    <w:rsid w:val="002049C5"/>
    <w:rsid w:val="00204CB3"/>
    <w:rsid w:val="00205055"/>
    <w:rsid w:val="00205BCA"/>
    <w:rsid w:val="0020607F"/>
    <w:rsid w:val="00206722"/>
    <w:rsid w:val="00206BA3"/>
    <w:rsid w:val="00206DBE"/>
    <w:rsid w:val="0020712A"/>
    <w:rsid w:val="002072B5"/>
    <w:rsid w:val="0020765D"/>
    <w:rsid w:val="00207811"/>
    <w:rsid w:val="00210490"/>
    <w:rsid w:val="00210821"/>
    <w:rsid w:val="00210ABD"/>
    <w:rsid w:val="00210C50"/>
    <w:rsid w:val="00210CD5"/>
    <w:rsid w:val="00211AE8"/>
    <w:rsid w:val="00211BAD"/>
    <w:rsid w:val="002122CF"/>
    <w:rsid w:val="0021268B"/>
    <w:rsid w:val="002131CF"/>
    <w:rsid w:val="002131FE"/>
    <w:rsid w:val="00213435"/>
    <w:rsid w:val="00213F42"/>
    <w:rsid w:val="0021423B"/>
    <w:rsid w:val="002147BD"/>
    <w:rsid w:val="00214947"/>
    <w:rsid w:val="00215937"/>
    <w:rsid w:val="002159F6"/>
    <w:rsid w:val="0021614A"/>
    <w:rsid w:val="00216846"/>
    <w:rsid w:val="0021699A"/>
    <w:rsid w:val="00216CDE"/>
    <w:rsid w:val="00216D1A"/>
    <w:rsid w:val="00216E57"/>
    <w:rsid w:val="00216FC2"/>
    <w:rsid w:val="002171B6"/>
    <w:rsid w:val="0021724C"/>
    <w:rsid w:val="002174ED"/>
    <w:rsid w:val="00217A54"/>
    <w:rsid w:val="00217D1E"/>
    <w:rsid w:val="00220281"/>
    <w:rsid w:val="00220447"/>
    <w:rsid w:val="0022065E"/>
    <w:rsid w:val="00220900"/>
    <w:rsid w:val="002212A3"/>
    <w:rsid w:val="002213CF"/>
    <w:rsid w:val="00222047"/>
    <w:rsid w:val="00222182"/>
    <w:rsid w:val="0022242A"/>
    <w:rsid w:val="00222586"/>
    <w:rsid w:val="00222AA5"/>
    <w:rsid w:val="0022319A"/>
    <w:rsid w:val="002240B7"/>
    <w:rsid w:val="00224D47"/>
    <w:rsid w:val="00225339"/>
    <w:rsid w:val="0022594D"/>
    <w:rsid w:val="00225A9A"/>
    <w:rsid w:val="00225C31"/>
    <w:rsid w:val="00225D19"/>
    <w:rsid w:val="002260FB"/>
    <w:rsid w:val="00227028"/>
    <w:rsid w:val="002272A3"/>
    <w:rsid w:val="0022743C"/>
    <w:rsid w:val="002302B8"/>
    <w:rsid w:val="00230328"/>
    <w:rsid w:val="002303FC"/>
    <w:rsid w:val="0023095F"/>
    <w:rsid w:val="00230F64"/>
    <w:rsid w:val="00230F8E"/>
    <w:rsid w:val="002316AF"/>
    <w:rsid w:val="0023226A"/>
    <w:rsid w:val="00232937"/>
    <w:rsid w:val="00233216"/>
    <w:rsid w:val="002334A9"/>
    <w:rsid w:val="0023357F"/>
    <w:rsid w:val="002338A1"/>
    <w:rsid w:val="002338DE"/>
    <w:rsid w:val="00234118"/>
    <w:rsid w:val="00234332"/>
    <w:rsid w:val="0023437E"/>
    <w:rsid w:val="00235297"/>
    <w:rsid w:val="002352FA"/>
    <w:rsid w:val="0023542F"/>
    <w:rsid w:val="00235A61"/>
    <w:rsid w:val="00235C4F"/>
    <w:rsid w:val="00236A70"/>
    <w:rsid w:val="00236E4F"/>
    <w:rsid w:val="0023749B"/>
    <w:rsid w:val="002375A0"/>
    <w:rsid w:val="00237978"/>
    <w:rsid w:val="002400B8"/>
    <w:rsid w:val="00240382"/>
    <w:rsid w:val="00240BCF"/>
    <w:rsid w:val="00240F18"/>
    <w:rsid w:val="002410AF"/>
    <w:rsid w:val="00241428"/>
    <w:rsid w:val="00241496"/>
    <w:rsid w:val="002415CC"/>
    <w:rsid w:val="00241721"/>
    <w:rsid w:val="00241AC2"/>
    <w:rsid w:val="00241DF5"/>
    <w:rsid w:val="00242463"/>
    <w:rsid w:val="00242D1F"/>
    <w:rsid w:val="00242F33"/>
    <w:rsid w:val="00243641"/>
    <w:rsid w:val="00243DA8"/>
    <w:rsid w:val="0024408C"/>
    <w:rsid w:val="002440D9"/>
    <w:rsid w:val="00244A1B"/>
    <w:rsid w:val="00244E7A"/>
    <w:rsid w:val="002451BB"/>
    <w:rsid w:val="002453DC"/>
    <w:rsid w:val="002455E0"/>
    <w:rsid w:val="002455E8"/>
    <w:rsid w:val="002457E2"/>
    <w:rsid w:val="00245D53"/>
    <w:rsid w:val="00245F2A"/>
    <w:rsid w:val="00246818"/>
    <w:rsid w:val="00246F23"/>
    <w:rsid w:val="002470D4"/>
    <w:rsid w:val="002471A8"/>
    <w:rsid w:val="00250228"/>
    <w:rsid w:val="002505AC"/>
    <w:rsid w:val="002509DF"/>
    <w:rsid w:val="00250EA9"/>
    <w:rsid w:val="00250FD6"/>
    <w:rsid w:val="0025123E"/>
    <w:rsid w:val="0025138D"/>
    <w:rsid w:val="0025146C"/>
    <w:rsid w:val="00251A72"/>
    <w:rsid w:val="00251AA1"/>
    <w:rsid w:val="00251F21"/>
    <w:rsid w:val="00252321"/>
    <w:rsid w:val="00252357"/>
    <w:rsid w:val="00252883"/>
    <w:rsid w:val="002528E3"/>
    <w:rsid w:val="00252A59"/>
    <w:rsid w:val="00252AFC"/>
    <w:rsid w:val="00252B1C"/>
    <w:rsid w:val="00253322"/>
    <w:rsid w:val="00253436"/>
    <w:rsid w:val="00253456"/>
    <w:rsid w:val="00253C9B"/>
    <w:rsid w:val="00253CD8"/>
    <w:rsid w:val="0025508B"/>
    <w:rsid w:val="002551BA"/>
    <w:rsid w:val="00255602"/>
    <w:rsid w:val="00255FBE"/>
    <w:rsid w:val="002566E6"/>
    <w:rsid w:val="002569AC"/>
    <w:rsid w:val="002575D9"/>
    <w:rsid w:val="00257FBE"/>
    <w:rsid w:val="00260DF8"/>
    <w:rsid w:val="0026147D"/>
    <w:rsid w:val="00261640"/>
    <w:rsid w:val="00261B47"/>
    <w:rsid w:val="00261BEE"/>
    <w:rsid w:val="00261DEB"/>
    <w:rsid w:val="002628E1"/>
    <w:rsid w:val="00262E84"/>
    <w:rsid w:val="002630A4"/>
    <w:rsid w:val="00263480"/>
    <w:rsid w:val="002634CC"/>
    <w:rsid w:val="00263E10"/>
    <w:rsid w:val="00263E7C"/>
    <w:rsid w:val="00264074"/>
    <w:rsid w:val="002645AE"/>
    <w:rsid w:val="00264727"/>
    <w:rsid w:val="002647BF"/>
    <w:rsid w:val="00264A75"/>
    <w:rsid w:val="00264DDD"/>
    <w:rsid w:val="00264E6D"/>
    <w:rsid w:val="00265AFF"/>
    <w:rsid w:val="00266132"/>
    <w:rsid w:val="0026632E"/>
    <w:rsid w:val="002663D9"/>
    <w:rsid w:val="00266606"/>
    <w:rsid w:val="002666B9"/>
    <w:rsid w:val="00266CA5"/>
    <w:rsid w:val="00267193"/>
    <w:rsid w:val="00267786"/>
    <w:rsid w:val="00267974"/>
    <w:rsid w:val="0026799E"/>
    <w:rsid w:val="002700BC"/>
    <w:rsid w:val="002706F9"/>
    <w:rsid w:val="002710C2"/>
    <w:rsid w:val="00271377"/>
    <w:rsid w:val="00271558"/>
    <w:rsid w:val="00271ADE"/>
    <w:rsid w:val="00272ED5"/>
    <w:rsid w:val="00272F45"/>
    <w:rsid w:val="00273108"/>
    <w:rsid w:val="00273363"/>
    <w:rsid w:val="0027358A"/>
    <w:rsid w:val="002736D5"/>
    <w:rsid w:val="0027445C"/>
    <w:rsid w:val="0027513B"/>
    <w:rsid w:val="00275731"/>
    <w:rsid w:val="00275794"/>
    <w:rsid w:val="00275E3C"/>
    <w:rsid w:val="002760BC"/>
    <w:rsid w:val="0027627E"/>
    <w:rsid w:val="00276784"/>
    <w:rsid w:val="00276910"/>
    <w:rsid w:val="00276BE8"/>
    <w:rsid w:val="00276CEB"/>
    <w:rsid w:val="0027790A"/>
    <w:rsid w:val="0028022D"/>
    <w:rsid w:val="002808AA"/>
    <w:rsid w:val="002809B2"/>
    <w:rsid w:val="002809E9"/>
    <w:rsid w:val="00280D80"/>
    <w:rsid w:val="002813A3"/>
    <w:rsid w:val="002813C1"/>
    <w:rsid w:val="002819CA"/>
    <w:rsid w:val="00281A49"/>
    <w:rsid w:val="0028215F"/>
    <w:rsid w:val="00282253"/>
    <w:rsid w:val="002824AC"/>
    <w:rsid w:val="0028273D"/>
    <w:rsid w:val="0028289F"/>
    <w:rsid w:val="00282A41"/>
    <w:rsid w:val="0028329E"/>
    <w:rsid w:val="0028395D"/>
    <w:rsid w:val="0028426F"/>
    <w:rsid w:val="00284670"/>
    <w:rsid w:val="00284796"/>
    <w:rsid w:val="00284EDF"/>
    <w:rsid w:val="00284EEB"/>
    <w:rsid w:val="0028513C"/>
    <w:rsid w:val="002851AE"/>
    <w:rsid w:val="00285D52"/>
    <w:rsid w:val="00286016"/>
    <w:rsid w:val="002860D8"/>
    <w:rsid w:val="002863BF"/>
    <w:rsid w:val="00286939"/>
    <w:rsid w:val="00286B2D"/>
    <w:rsid w:val="00286D97"/>
    <w:rsid w:val="0028717E"/>
    <w:rsid w:val="00287315"/>
    <w:rsid w:val="0028734C"/>
    <w:rsid w:val="002877F0"/>
    <w:rsid w:val="0029071C"/>
    <w:rsid w:val="0029099A"/>
    <w:rsid w:val="0029111B"/>
    <w:rsid w:val="00291993"/>
    <w:rsid w:val="00291C0B"/>
    <w:rsid w:val="00292383"/>
    <w:rsid w:val="00292BAC"/>
    <w:rsid w:val="00292CFB"/>
    <w:rsid w:val="00292E79"/>
    <w:rsid w:val="00293196"/>
    <w:rsid w:val="002934FA"/>
    <w:rsid w:val="002939FA"/>
    <w:rsid w:val="002948C9"/>
    <w:rsid w:val="00294990"/>
    <w:rsid w:val="00294A65"/>
    <w:rsid w:val="00294F15"/>
    <w:rsid w:val="00295600"/>
    <w:rsid w:val="002968B3"/>
    <w:rsid w:val="002968F0"/>
    <w:rsid w:val="00296DF9"/>
    <w:rsid w:val="00296E13"/>
    <w:rsid w:val="00296FB9"/>
    <w:rsid w:val="00297B84"/>
    <w:rsid w:val="00297EA1"/>
    <w:rsid w:val="002A0171"/>
    <w:rsid w:val="002A01D5"/>
    <w:rsid w:val="002A052B"/>
    <w:rsid w:val="002A0610"/>
    <w:rsid w:val="002A06CC"/>
    <w:rsid w:val="002A0AB8"/>
    <w:rsid w:val="002A0E66"/>
    <w:rsid w:val="002A26FE"/>
    <w:rsid w:val="002A3AA8"/>
    <w:rsid w:val="002A4680"/>
    <w:rsid w:val="002A5243"/>
    <w:rsid w:val="002A5BBD"/>
    <w:rsid w:val="002A60BD"/>
    <w:rsid w:val="002A6112"/>
    <w:rsid w:val="002A67FB"/>
    <w:rsid w:val="002A6968"/>
    <w:rsid w:val="002A6C69"/>
    <w:rsid w:val="002B07C9"/>
    <w:rsid w:val="002B0811"/>
    <w:rsid w:val="002B0A77"/>
    <w:rsid w:val="002B0AEE"/>
    <w:rsid w:val="002B209D"/>
    <w:rsid w:val="002B2273"/>
    <w:rsid w:val="002B2594"/>
    <w:rsid w:val="002B2A4F"/>
    <w:rsid w:val="002B2AFD"/>
    <w:rsid w:val="002B2B84"/>
    <w:rsid w:val="002B2D17"/>
    <w:rsid w:val="002B4EDF"/>
    <w:rsid w:val="002B4F4E"/>
    <w:rsid w:val="002B5BDD"/>
    <w:rsid w:val="002B5C31"/>
    <w:rsid w:val="002B5F1D"/>
    <w:rsid w:val="002B6246"/>
    <w:rsid w:val="002B6254"/>
    <w:rsid w:val="002B650E"/>
    <w:rsid w:val="002B69F7"/>
    <w:rsid w:val="002B6ABF"/>
    <w:rsid w:val="002B6CF8"/>
    <w:rsid w:val="002B716A"/>
    <w:rsid w:val="002B75BA"/>
    <w:rsid w:val="002B762F"/>
    <w:rsid w:val="002B7857"/>
    <w:rsid w:val="002B7931"/>
    <w:rsid w:val="002B7AC2"/>
    <w:rsid w:val="002C0250"/>
    <w:rsid w:val="002C0AB6"/>
    <w:rsid w:val="002C0E86"/>
    <w:rsid w:val="002C0FC5"/>
    <w:rsid w:val="002C1DC7"/>
    <w:rsid w:val="002C2027"/>
    <w:rsid w:val="002C2A89"/>
    <w:rsid w:val="002C33C1"/>
    <w:rsid w:val="002C3498"/>
    <w:rsid w:val="002C354E"/>
    <w:rsid w:val="002C3671"/>
    <w:rsid w:val="002C3755"/>
    <w:rsid w:val="002C3CE3"/>
    <w:rsid w:val="002C43F6"/>
    <w:rsid w:val="002C4AFB"/>
    <w:rsid w:val="002C53CC"/>
    <w:rsid w:val="002C54CB"/>
    <w:rsid w:val="002C5875"/>
    <w:rsid w:val="002C5A51"/>
    <w:rsid w:val="002C6301"/>
    <w:rsid w:val="002C64A2"/>
    <w:rsid w:val="002C66E8"/>
    <w:rsid w:val="002C76BD"/>
    <w:rsid w:val="002C7D2B"/>
    <w:rsid w:val="002C7FB8"/>
    <w:rsid w:val="002D02BD"/>
    <w:rsid w:val="002D03CF"/>
    <w:rsid w:val="002D05A5"/>
    <w:rsid w:val="002D0BE6"/>
    <w:rsid w:val="002D1182"/>
    <w:rsid w:val="002D1469"/>
    <w:rsid w:val="002D1632"/>
    <w:rsid w:val="002D183E"/>
    <w:rsid w:val="002D1930"/>
    <w:rsid w:val="002D1DB8"/>
    <w:rsid w:val="002D1E9B"/>
    <w:rsid w:val="002D277A"/>
    <w:rsid w:val="002D32C9"/>
    <w:rsid w:val="002D3612"/>
    <w:rsid w:val="002D3E2D"/>
    <w:rsid w:val="002D4191"/>
    <w:rsid w:val="002D4A52"/>
    <w:rsid w:val="002D4A5A"/>
    <w:rsid w:val="002D4AEA"/>
    <w:rsid w:val="002D5151"/>
    <w:rsid w:val="002D5DEA"/>
    <w:rsid w:val="002D5E21"/>
    <w:rsid w:val="002D6182"/>
    <w:rsid w:val="002D655D"/>
    <w:rsid w:val="002D72BD"/>
    <w:rsid w:val="002D7A60"/>
    <w:rsid w:val="002D7AF6"/>
    <w:rsid w:val="002E0416"/>
    <w:rsid w:val="002E0465"/>
    <w:rsid w:val="002E057D"/>
    <w:rsid w:val="002E0A4A"/>
    <w:rsid w:val="002E1015"/>
    <w:rsid w:val="002E109C"/>
    <w:rsid w:val="002E1903"/>
    <w:rsid w:val="002E19AD"/>
    <w:rsid w:val="002E1E22"/>
    <w:rsid w:val="002E2176"/>
    <w:rsid w:val="002E2221"/>
    <w:rsid w:val="002E2298"/>
    <w:rsid w:val="002E2437"/>
    <w:rsid w:val="002E2464"/>
    <w:rsid w:val="002E30D7"/>
    <w:rsid w:val="002E350E"/>
    <w:rsid w:val="002E3916"/>
    <w:rsid w:val="002E3C2D"/>
    <w:rsid w:val="002E3F7A"/>
    <w:rsid w:val="002E411E"/>
    <w:rsid w:val="002E4264"/>
    <w:rsid w:val="002E46A5"/>
    <w:rsid w:val="002E47AC"/>
    <w:rsid w:val="002E48EE"/>
    <w:rsid w:val="002E5775"/>
    <w:rsid w:val="002E5C6E"/>
    <w:rsid w:val="002E5DD4"/>
    <w:rsid w:val="002E5F7F"/>
    <w:rsid w:val="002E64F5"/>
    <w:rsid w:val="002E652B"/>
    <w:rsid w:val="002E7051"/>
    <w:rsid w:val="002E7729"/>
    <w:rsid w:val="002E7740"/>
    <w:rsid w:val="002E7C22"/>
    <w:rsid w:val="002F0480"/>
    <w:rsid w:val="002F07A8"/>
    <w:rsid w:val="002F1057"/>
    <w:rsid w:val="002F1822"/>
    <w:rsid w:val="002F1A09"/>
    <w:rsid w:val="002F2E34"/>
    <w:rsid w:val="002F2FB3"/>
    <w:rsid w:val="002F305C"/>
    <w:rsid w:val="002F347E"/>
    <w:rsid w:val="002F3C77"/>
    <w:rsid w:val="002F3D03"/>
    <w:rsid w:val="002F4C3B"/>
    <w:rsid w:val="002F4F4A"/>
    <w:rsid w:val="002F5792"/>
    <w:rsid w:val="002F618C"/>
    <w:rsid w:val="002F6611"/>
    <w:rsid w:val="002F681E"/>
    <w:rsid w:val="002F6936"/>
    <w:rsid w:val="002F6BD4"/>
    <w:rsid w:val="002F6E28"/>
    <w:rsid w:val="002F7F6F"/>
    <w:rsid w:val="003000C2"/>
    <w:rsid w:val="003001FC"/>
    <w:rsid w:val="003007BE"/>
    <w:rsid w:val="003009C9"/>
    <w:rsid w:val="00300A50"/>
    <w:rsid w:val="00300F2D"/>
    <w:rsid w:val="00301F9F"/>
    <w:rsid w:val="00302462"/>
    <w:rsid w:val="00302603"/>
    <w:rsid w:val="00302799"/>
    <w:rsid w:val="00302EF9"/>
    <w:rsid w:val="00303045"/>
    <w:rsid w:val="00303418"/>
    <w:rsid w:val="00303787"/>
    <w:rsid w:val="00303B1F"/>
    <w:rsid w:val="00304483"/>
    <w:rsid w:val="003044D2"/>
    <w:rsid w:val="00304996"/>
    <w:rsid w:val="00304B36"/>
    <w:rsid w:val="00304DA3"/>
    <w:rsid w:val="00305461"/>
    <w:rsid w:val="00305645"/>
    <w:rsid w:val="00305FA4"/>
    <w:rsid w:val="0030676A"/>
    <w:rsid w:val="00306802"/>
    <w:rsid w:val="00306898"/>
    <w:rsid w:val="00307581"/>
    <w:rsid w:val="0030772A"/>
    <w:rsid w:val="00307D21"/>
    <w:rsid w:val="00310612"/>
    <w:rsid w:val="0031062A"/>
    <w:rsid w:val="003106CB"/>
    <w:rsid w:val="003106F1"/>
    <w:rsid w:val="003109BC"/>
    <w:rsid w:val="00310F0E"/>
    <w:rsid w:val="00311363"/>
    <w:rsid w:val="0031152E"/>
    <w:rsid w:val="00311D47"/>
    <w:rsid w:val="00311ED5"/>
    <w:rsid w:val="00312188"/>
    <w:rsid w:val="00312323"/>
    <w:rsid w:val="00312585"/>
    <w:rsid w:val="003126A5"/>
    <w:rsid w:val="00313249"/>
    <w:rsid w:val="00313E10"/>
    <w:rsid w:val="00313EDC"/>
    <w:rsid w:val="00314383"/>
    <w:rsid w:val="003143B8"/>
    <w:rsid w:val="00314634"/>
    <w:rsid w:val="00314AB0"/>
    <w:rsid w:val="0031577B"/>
    <w:rsid w:val="003158EF"/>
    <w:rsid w:val="00315AD7"/>
    <w:rsid w:val="00315B6E"/>
    <w:rsid w:val="00316717"/>
    <w:rsid w:val="0031721F"/>
    <w:rsid w:val="00317A17"/>
    <w:rsid w:val="00320553"/>
    <w:rsid w:val="0032077E"/>
    <w:rsid w:val="00320840"/>
    <w:rsid w:val="00320DA0"/>
    <w:rsid w:val="0032156A"/>
    <w:rsid w:val="0032176C"/>
    <w:rsid w:val="00321B3B"/>
    <w:rsid w:val="0032216F"/>
    <w:rsid w:val="0032255F"/>
    <w:rsid w:val="003227AE"/>
    <w:rsid w:val="00322CC5"/>
    <w:rsid w:val="00323314"/>
    <w:rsid w:val="00323933"/>
    <w:rsid w:val="00323E4D"/>
    <w:rsid w:val="003241D8"/>
    <w:rsid w:val="00324705"/>
    <w:rsid w:val="00324F52"/>
    <w:rsid w:val="00324F54"/>
    <w:rsid w:val="0032588B"/>
    <w:rsid w:val="0032598F"/>
    <w:rsid w:val="00325C52"/>
    <w:rsid w:val="00325EC5"/>
    <w:rsid w:val="003261F5"/>
    <w:rsid w:val="00326351"/>
    <w:rsid w:val="00326941"/>
    <w:rsid w:val="00326E3A"/>
    <w:rsid w:val="00327CC2"/>
    <w:rsid w:val="00327E36"/>
    <w:rsid w:val="00327EE2"/>
    <w:rsid w:val="00327FA6"/>
    <w:rsid w:val="00330C82"/>
    <w:rsid w:val="003311EF"/>
    <w:rsid w:val="0033184E"/>
    <w:rsid w:val="003319E8"/>
    <w:rsid w:val="00331A35"/>
    <w:rsid w:val="00331C19"/>
    <w:rsid w:val="00331C73"/>
    <w:rsid w:val="00332771"/>
    <w:rsid w:val="00332B04"/>
    <w:rsid w:val="00332E4E"/>
    <w:rsid w:val="00333574"/>
    <w:rsid w:val="003335C7"/>
    <w:rsid w:val="00333809"/>
    <w:rsid w:val="00333816"/>
    <w:rsid w:val="003338F1"/>
    <w:rsid w:val="00333A07"/>
    <w:rsid w:val="00333F4D"/>
    <w:rsid w:val="003350CA"/>
    <w:rsid w:val="0033522F"/>
    <w:rsid w:val="003359FE"/>
    <w:rsid w:val="00335AE0"/>
    <w:rsid w:val="00335BDB"/>
    <w:rsid w:val="00336604"/>
    <w:rsid w:val="00336927"/>
    <w:rsid w:val="00336EDF"/>
    <w:rsid w:val="00337496"/>
    <w:rsid w:val="003375C1"/>
    <w:rsid w:val="0034043A"/>
    <w:rsid w:val="00340BFE"/>
    <w:rsid w:val="00340E13"/>
    <w:rsid w:val="00340EF6"/>
    <w:rsid w:val="00341058"/>
    <w:rsid w:val="00341B50"/>
    <w:rsid w:val="00342CC7"/>
    <w:rsid w:val="0034386E"/>
    <w:rsid w:val="00343934"/>
    <w:rsid w:val="00343A1D"/>
    <w:rsid w:val="00343A8A"/>
    <w:rsid w:val="00343F0F"/>
    <w:rsid w:val="00344278"/>
    <w:rsid w:val="003442AD"/>
    <w:rsid w:val="00344B31"/>
    <w:rsid w:val="00344C7C"/>
    <w:rsid w:val="003454E3"/>
    <w:rsid w:val="003455A3"/>
    <w:rsid w:val="003465C8"/>
    <w:rsid w:val="003466CC"/>
    <w:rsid w:val="00346705"/>
    <w:rsid w:val="0034678A"/>
    <w:rsid w:val="00347243"/>
    <w:rsid w:val="00347377"/>
    <w:rsid w:val="0034753C"/>
    <w:rsid w:val="003500A5"/>
    <w:rsid w:val="00350667"/>
    <w:rsid w:val="0035070F"/>
    <w:rsid w:val="00350BBA"/>
    <w:rsid w:val="003512CC"/>
    <w:rsid w:val="00351EDC"/>
    <w:rsid w:val="00352045"/>
    <w:rsid w:val="00352071"/>
    <w:rsid w:val="00352C6C"/>
    <w:rsid w:val="00352D70"/>
    <w:rsid w:val="00353B7E"/>
    <w:rsid w:val="00353F26"/>
    <w:rsid w:val="003541D8"/>
    <w:rsid w:val="00354481"/>
    <w:rsid w:val="0035458C"/>
    <w:rsid w:val="00354782"/>
    <w:rsid w:val="003548CB"/>
    <w:rsid w:val="00355113"/>
    <w:rsid w:val="00355234"/>
    <w:rsid w:val="00355337"/>
    <w:rsid w:val="003554AC"/>
    <w:rsid w:val="00355C36"/>
    <w:rsid w:val="00356F7F"/>
    <w:rsid w:val="00357B90"/>
    <w:rsid w:val="00357F5B"/>
    <w:rsid w:val="003602DE"/>
    <w:rsid w:val="003605B6"/>
    <w:rsid w:val="00360724"/>
    <w:rsid w:val="00361010"/>
    <w:rsid w:val="003612E9"/>
    <w:rsid w:val="0036217B"/>
    <w:rsid w:val="00362350"/>
    <w:rsid w:val="00362357"/>
    <w:rsid w:val="00362475"/>
    <w:rsid w:val="003624FC"/>
    <w:rsid w:val="003629F3"/>
    <w:rsid w:val="003634DA"/>
    <w:rsid w:val="0036359B"/>
    <w:rsid w:val="003635F0"/>
    <w:rsid w:val="00363B4C"/>
    <w:rsid w:val="00364296"/>
    <w:rsid w:val="00364844"/>
    <w:rsid w:val="00364B13"/>
    <w:rsid w:val="00364C17"/>
    <w:rsid w:val="0036526D"/>
    <w:rsid w:val="00365DDD"/>
    <w:rsid w:val="00365DF5"/>
    <w:rsid w:val="00366C94"/>
    <w:rsid w:val="00366E5D"/>
    <w:rsid w:val="00366F3F"/>
    <w:rsid w:val="00367005"/>
    <w:rsid w:val="00367118"/>
    <w:rsid w:val="003673A2"/>
    <w:rsid w:val="00370528"/>
    <w:rsid w:val="00370653"/>
    <w:rsid w:val="00370859"/>
    <w:rsid w:val="00371737"/>
    <w:rsid w:val="0037183F"/>
    <w:rsid w:val="00371944"/>
    <w:rsid w:val="00371AAA"/>
    <w:rsid w:val="00371AEC"/>
    <w:rsid w:val="00372246"/>
    <w:rsid w:val="0037237D"/>
    <w:rsid w:val="00372693"/>
    <w:rsid w:val="003733A3"/>
    <w:rsid w:val="003743AA"/>
    <w:rsid w:val="00374654"/>
    <w:rsid w:val="00374C59"/>
    <w:rsid w:val="00374E30"/>
    <w:rsid w:val="003754BA"/>
    <w:rsid w:val="00375624"/>
    <w:rsid w:val="0037584B"/>
    <w:rsid w:val="003759A1"/>
    <w:rsid w:val="00375BE9"/>
    <w:rsid w:val="00375D21"/>
    <w:rsid w:val="00375EF5"/>
    <w:rsid w:val="003761C4"/>
    <w:rsid w:val="003761DC"/>
    <w:rsid w:val="003766BD"/>
    <w:rsid w:val="0037674D"/>
    <w:rsid w:val="00376852"/>
    <w:rsid w:val="00376E3F"/>
    <w:rsid w:val="00376EE6"/>
    <w:rsid w:val="00377705"/>
    <w:rsid w:val="00377A1F"/>
    <w:rsid w:val="00377F5B"/>
    <w:rsid w:val="00377F83"/>
    <w:rsid w:val="0038019E"/>
    <w:rsid w:val="00380981"/>
    <w:rsid w:val="003813F7"/>
    <w:rsid w:val="00381684"/>
    <w:rsid w:val="00381D89"/>
    <w:rsid w:val="003824AD"/>
    <w:rsid w:val="00382989"/>
    <w:rsid w:val="00382A50"/>
    <w:rsid w:val="00382B21"/>
    <w:rsid w:val="00382B46"/>
    <w:rsid w:val="00382C9E"/>
    <w:rsid w:val="003830D3"/>
    <w:rsid w:val="003831D5"/>
    <w:rsid w:val="00383208"/>
    <w:rsid w:val="003838A1"/>
    <w:rsid w:val="00383E04"/>
    <w:rsid w:val="003851C7"/>
    <w:rsid w:val="00385368"/>
    <w:rsid w:val="0038658E"/>
    <w:rsid w:val="00386BFA"/>
    <w:rsid w:val="00386DDA"/>
    <w:rsid w:val="00387A2B"/>
    <w:rsid w:val="00390300"/>
    <w:rsid w:val="00390510"/>
    <w:rsid w:val="0039062D"/>
    <w:rsid w:val="00390BB4"/>
    <w:rsid w:val="003911A5"/>
    <w:rsid w:val="003920EF"/>
    <w:rsid w:val="00392346"/>
    <w:rsid w:val="0039268D"/>
    <w:rsid w:val="003929E6"/>
    <w:rsid w:val="00392BBE"/>
    <w:rsid w:val="00393787"/>
    <w:rsid w:val="00393D7D"/>
    <w:rsid w:val="00393F94"/>
    <w:rsid w:val="00394899"/>
    <w:rsid w:val="0039545B"/>
    <w:rsid w:val="00395462"/>
    <w:rsid w:val="0039579C"/>
    <w:rsid w:val="00395898"/>
    <w:rsid w:val="00395AB7"/>
    <w:rsid w:val="00395C0B"/>
    <w:rsid w:val="0039614C"/>
    <w:rsid w:val="00396168"/>
    <w:rsid w:val="003961B8"/>
    <w:rsid w:val="00396614"/>
    <w:rsid w:val="00396E32"/>
    <w:rsid w:val="00396F2A"/>
    <w:rsid w:val="00396FC2"/>
    <w:rsid w:val="00397206"/>
    <w:rsid w:val="00397230"/>
    <w:rsid w:val="00397451"/>
    <w:rsid w:val="00397A1D"/>
    <w:rsid w:val="00397CEC"/>
    <w:rsid w:val="00397F09"/>
    <w:rsid w:val="003A02BE"/>
    <w:rsid w:val="003A0357"/>
    <w:rsid w:val="003A08F6"/>
    <w:rsid w:val="003A140D"/>
    <w:rsid w:val="003A14EF"/>
    <w:rsid w:val="003A17BD"/>
    <w:rsid w:val="003A19AB"/>
    <w:rsid w:val="003A1DF7"/>
    <w:rsid w:val="003A25B8"/>
    <w:rsid w:val="003A2A84"/>
    <w:rsid w:val="003A2B85"/>
    <w:rsid w:val="003A2C48"/>
    <w:rsid w:val="003A3942"/>
    <w:rsid w:val="003A3AEC"/>
    <w:rsid w:val="003A41E2"/>
    <w:rsid w:val="003A467D"/>
    <w:rsid w:val="003A4763"/>
    <w:rsid w:val="003A57D6"/>
    <w:rsid w:val="003A5918"/>
    <w:rsid w:val="003A63A8"/>
    <w:rsid w:val="003A6C1D"/>
    <w:rsid w:val="003A75FE"/>
    <w:rsid w:val="003A78F3"/>
    <w:rsid w:val="003A7E35"/>
    <w:rsid w:val="003B0400"/>
    <w:rsid w:val="003B157E"/>
    <w:rsid w:val="003B20FE"/>
    <w:rsid w:val="003B2441"/>
    <w:rsid w:val="003B25FA"/>
    <w:rsid w:val="003B270F"/>
    <w:rsid w:val="003B2B5C"/>
    <w:rsid w:val="003B2F87"/>
    <w:rsid w:val="003B3287"/>
    <w:rsid w:val="003B3973"/>
    <w:rsid w:val="003B3BE5"/>
    <w:rsid w:val="003B4217"/>
    <w:rsid w:val="003B4D0B"/>
    <w:rsid w:val="003B53AC"/>
    <w:rsid w:val="003B560F"/>
    <w:rsid w:val="003B5FF2"/>
    <w:rsid w:val="003B6399"/>
    <w:rsid w:val="003B671B"/>
    <w:rsid w:val="003B729A"/>
    <w:rsid w:val="003B740C"/>
    <w:rsid w:val="003B79DC"/>
    <w:rsid w:val="003C0D6A"/>
    <w:rsid w:val="003C0D7B"/>
    <w:rsid w:val="003C0FB9"/>
    <w:rsid w:val="003C168C"/>
    <w:rsid w:val="003C209A"/>
    <w:rsid w:val="003C20E0"/>
    <w:rsid w:val="003C22A4"/>
    <w:rsid w:val="003C2DD3"/>
    <w:rsid w:val="003C303F"/>
    <w:rsid w:val="003C338B"/>
    <w:rsid w:val="003C37F1"/>
    <w:rsid w:val="003C3951"/>
    <w:rsid w:val="003C3A92"/>
    <w:rsid w:val="003C3E6F"/>
    <w:rsid w:val="003C4117"/>
    <w:rsid w:val="003C4571"/>
    <w:rsid w:val="003C468B"/>
    <w:rsid w:val="003C4D70"/>
    <w:rsid w:val="003C51D3"/>
    <w:rsid w:val="003C5975"/>
    <w:rsid w:val="003C5B61"/>
    <w:rsid w:val="003C62F4"/>
    <w:rsid w:val="003C64FF"/>
    <w:rsid w:val="003C6C1F"/>
    <w:rsid w:val="003C6CB9"/>
    <w:rsid w:val="003C73FF"/>
    <w:rsid w:val="003C768A"/>
    <w:rsid w:val="003C773C"/>
    <w:rsid w:val="003C7A27"/>
    <w:rsid w:val="003D050C"/>
    <w:rsid w:val="003D0556"/>
    <w:rsid w:val="003D0804"/>
    <w:rsid w:val="003D0F79"/>
    <w:rsid w:val="003D0F82"/>
    <w:rsid w:val="003D0FCA"/>
    <w:rsid w:val="003D1490"/>
    <w:rsid w:val="003D155B"/>
    <w:rsid w:val="003D1930"/>
    <w:rsid w:val="003D1BE4"/>
    <w:rsid w:val="003D1F3C"/>
    <w:rsid w:val="003D234D"/>
    <w:rsid w:val="003D28F5"/>
    <w:rsid w:val="003D2ABD"/>
    <w:rsid w:val="003D2D1B"/>
    <w:rsid w:val="003D325F"/>
    <w:rsid w:val="003D3511"/>
    <w:rsid w:val="003D3E06"/>
    <w:rsid w:val="003D403A"/>
    <w:rsid w:val="003D413C"/>
    <w:rsid w:val="003D4319"/>
    <w:rsid w:val="003D4587"/>
    <w:rsid w:val="003D48A2"/>
    <w:rsid w:val="003D5A8D"/>
    <w:rsid w:val="003D5B0E"/>
    <w:rsid w:val="003D5F76"/>
    <w:rsid w:val="003D6170"/>
    <w:rsid w:val="003D65BF"/>
    <w:rsid w:val="003D66A2"/>
    <w:rsid w:val="003D6732"/>
    <w:rsid w:val="003D6D91"/>
    <w:rsid w:val="003D7250"/>
    <w:rsid w:val="003D76EE"/>
    <w:rsid w:val="003D7B4C"/>
    <w:rsid w:val="003D7BBB"/>
    <w:rsid w:val="003E0381"/>
    <w:rsid w:val="003E0CA9"/>
    <w:rsid w:val="003E0E2C"/>
    <w:rsid w:val="003E1454"/>
    <w:rsid w:val="003E164A"/>
    <w:rsid w:val="003E1A9F"/>
    <w:rsid w:val="003E1EE8"/>
    <w:rsid w:val="003E2AD9"/>
    <w:rsid w:val="003E2DB7"/>
    <w:rsid w:val="003E3101"/>
    <w:rsid w:val="003E32DE"/>
    <w:rsid w:val="003E3472"/>
    <w:rsid w:val="003E3E25"/>
    <w:rsid w:val="003E476E"/>
    <w:rsid w:val="003E4789"/>
    <w:rsid w:val="003E49B2"/>
    <w:rsid w:val="003E4C9D"/>
    <w:rsid w:val="003E4FCD"/>
    <w:rsid w:val="003E5859"/>
    <w:rsid w:val="003E65B3"/>
    <w:rsid w:val="003E676B"/>
    <w:rsid w:val="003E68AD"/>
    <w:rsid w:val="003E68AE"/>
    <w:rsid w:val="003E69D1"/>
    <w:rsid w:val="003E6A0B"/>
    <w:rsid w:val="003E727F"/>
    <w:rsid w:val="003E788D"/>
    <w:rsid w:val="003E7939"/>
    <w:rsid w:val="003F0A79"/>
    <w:rsid w:val="003F1084"/>
    <w:rsid w:val="003F1414"/>
    <w:rsid w:val="003F1653"/>
    <w:rsid w:val="003F2171"/>
    <w:rsid w:val="003F23E7"/>
    <w:rsid w:val="003F27C8"/>
    <w:rsid w:val="003F28D0"/>
    <w:rsid w:val="003F2ABD"/>
    <w:rsid w:val="003F2F4E"/>
    <w:rsid w:val="003F33E4"/>
    <w:rsid w:val="003F35BF"/>
    <w:rsid w:val="003F400E"/>
    <w:rsid w:val="003F40EE"/>
    <w:rsid w:val="003F4638"/>
    <w:rsid w:val="003F46D5"/>
    <w:rsid w:val="003F5196"/>
    <w:rsid w:val="003F57B2"/>
    <w:rsid w:val="003F5841"/>
    <w:rsid w:val="003F5885"/>
    <w:rsid w:val="003F58C5"/>
    <w:rsid w:val="003F5B5D"/>
    <w:rsid w:val="003F5C24"/>
    <w:rsid w:val="003F66D7"/>
    <w:rsid w:val="003F6C74"/>
    <w:rsid w:val="004007E5"/>
    <w:rsid w:val="0040274D"/>
    <w:rsid w:val="0040363B"/>
    <w:rsid w:val="0040414E"/>
    <w:rsid w:val="004045E7"/>
    <w:rsid w:val="00404BAB"/>
    <w:rsid w:val="00404F5A"/>
    <w:rsid w:val="004052A0"/>
    <w:rsid w:val="004056FD"/>
    <w:rsid w:val="00405C8E"/>
    <w:rsid w:val="00406104"/>
    <w:rsid w:val="0040617B"/>
    <w:rsid w:val="00406A74"/>
    <w:rsid w:val="0040700A"/>
    <w:rsid w:val="004075D9"/>
    <w:rsid w:val="00407755"/>
    <w:rsid w:val="004077AD"/>
    <w:rsid w:val="00407A1A"/>
    <w:rsid w:val="0041001E"/>
    <w:rsid w:val="00410667"/>
    <w:rsid w:val="004108BE"/>
    <w:rsid w:val="00410A50"/>
    <w:rsid w:val="00410DF4"/>
    <w:rsid w:val="00410F6A"/>
    <w:rsid w:val="004120BB"/>
    <w:rsid w:val="004124EB"/>
    <w:rsid w:val="004126B1"/>
    <w:rsid w:val="0041280E"/>
    <w:rsid w:val="0041288C"/>
    <w:rsid w:val="004133BB"/>
    <w:rsid w:val="00413B57"/>
    <w:rsid w:val="00414C97"/>
    <w:rsid w:val="004154AF"/>
    <w:rsid w:val="004157B9"/>
    <w:rsid w:val="00415CAA"/>
    <w:rsid w:val="00416235"/>
    <w:rsid w:val="004162C4"/>
    <w:rsid w:val="004165D6"/>
    <w:rsid w:val="0041677B"/>
    <w:rsid w:val="00416C7D"/>
    <w:rsid w:val="00416DC0"/>
    <w:rsid w:val="00417111"/>
    <w:rsid w:val="00417996"/>
    <w:rsid w:val="00417DA6"/>
    <w:rsid w:val="0042015D"/>
    <w:rsid w:val="00420177"/>
    <w:rsid w:val="00420A63"/>
    <w:rsid w:val="004211BD"/>
    <w:rsid w:val="00421AD9"/>
    <w:rsid w:val="0042275D"/>
    <w:rsid w:val="00422853"/>
    <w:rsid w:val="00422DD8"/>
    <w:rsid w:val="004234D4"/>
    <w:rsid w:val="00424BD7"/>
    <w:rsid w:val="00424DF0"/>
    <w:rsid w:val="0042558D"/>
    <w:rsid w:val="0042579B"/>
    <w:rsid w:val="00425C8B"/>
    <w:rsid w:val="00425F4B"/>
    <w:rsid w:val="00425F77"/>
    <w:rsid w:val="004273D9"/>
    <w:rsid w:val="00427475"/>
    <w:rsid w:val="004279D0"/>
    <w:rsid w:val="0043002D"/>
    <w:rsid w:val="00430577"/>
    <w:rsid w:val="00430964"/>
    <w:rsid w:val="00430BA3"/>
    <w:rsid w:val="00430EDB"/>
    <w:rsid w:val="0043129A"/>
    <w:rsid w:val="00431A01"/>
    <w:rsid w:val="00431B05"/>
    <w:rsid w:val="0043246F"/>
    <w:rsid w:val="0043288B"/>
    <w:rsid w:val="004329D0"/>
    <w:rsid w:val="00432D8D"/>
    <w:rsid w:val="00432E87"/>
    <w:rsid w:val="00433001"/>
    <w:rsid w:val="00433182"/>
    <w:rsid w:val="00433722"/>
    <w:rsid w:val="00434E60"/>
    <w:rsid w:val="00435292"/>
    <w:rsid w:val="0043576E"/>
    <w:rsid w:val="00435F33"/>
    <w:rsid w:val="00436102"/>
    <w:rsid w:val="00436454"/>
    <w:rsid w:val="00436764"/>
    <w:rsid w:val="0043680B"/>
    <w:rsid w:val="00436F10"/>
    <w:rsid w:val="00436F48"/>
    <w:rsid w:val="004373C4"/>
    <w:rsid w:val="004373CD"/>
    <w:rsid w:val="00437623"/>
    <w:rsid w:val="00437689"/>
    <w:rsid w:val="00437CFD"/>
    <w:rsid w:val="00437FE6"/>
    <w:rsid w:val="0044019B"/>
    <w:rsid w:val="00440298"/>
    <w:rsid w:val="004408B9"/>
    <w:rsid w:val="004414AF"/>
    <w:rsid w:val="0044196F"/>
    <w:rsid w:val="004419E8"/>
    <w:rsid w:val="00441B77"/>
    <w:rsid w:val="00441BDC"/>
    <w:rsid w:val="00442A6C"/>
    <w:rsid w:val="00442D18"/>
    <w:rsid w:val="00442DAB"/>
    <w:rsid w:val="00443283"/>
    <w:rsid w:val="00443756"/>
    <w:rsid w:val="00443BD2"/>
    <w:rsid w:val="00443E20"/>
    <w:rsid w:val="00444039"/>
    <w:rsid w:val="00444411"/>
    <w:rsid w:val="00444437"/>
    <w:rsid w:val="004447FF"/>
    <w:rsid w:val="00444BDC"/>
    <w:rsid w:val="00444C91"/>
    <w:rsid w:val="00445193"/>
    <w:rsid w:val="004451B4"/>
    <w:rsid w:val="00445208"/>
    <w:rsid w:val="004458B3"/>
    <w:rsid w:val="0044655A"/>
    <w:rsid w:val="00446643"/>
    <w:rsid w:val="00446B88"/>
    <w:rsid w:val="00447330"/>
    <w:rsid w:val="004506E9"/>
    <w:rsid w:val="00450CCE"/>
    <w:rsid w:val="00450EC8"/>
    <w:rsid w:val="00451681"/>
    <w:rsid w:val="00451979"/>
    <w:rsid w:val="00451AF6"/>
    <w:rsid w:val="00451C80"/>
    <w:rsid w:val="004522AC"/>
    <w:rsid w:val="004522D4"/>
    <w:rsid w:val="004535BC"/>
    <w:rsid w:val="0045361E"/>
    <w:rsid w:val="0045367B"/>
    <w:rsid w:val="004537B4"/>
    <w:rsid w:val="00453A06"/>
    <w:rsid w:val="004544F8"/>
    <w:rsid w:val="00454793"/>
    <w:rsid w:val="0045490A"/>
    <w:rsid w:val="00454B88"/>
    <w:rsid w:val="00454D56"/>
    <w:rsid w:val="00454D9F"/>
    <w:rsid w:val="004550B7"/>
    <w:rsid w:val="004552FA"/>
    <w:rsid w:val="0045598B"/>
    <w:rsid w:val="00455AE9"/>
    <w:rsid w:val="00455B24"/>
    <w:rsid w:val="00455FE9"/>
    <w:rsid w:val="00456466"/>
    <w:rsid w:val="00456A81"/>
    <w:rsid w:val="00456AB1"/>
    <w:rsid w:val="00456B1A"/>
    <w:rsid w:val="00456C7B"/>
    <w:rsid w:val="00456E42"/>
    <w:rsid w:val="00457245"/>
    <w:rsid w:val="004577CB"/>
    <w:rsid w:val="004579E2"/>
    <w:rsid w:val="00457B47"/>
    <w:rsid w:val="00457E5B"/>
    <w:rsid w:val="00457F7F"/>
    <w:rsid w:val="00460403"/>
    <w:rsid w:val="00460C05"/>
    <w:rsid w:val="00461431"/>
    <w:rsid w:val="00462865"/>
    <w:rsid w:val="0046297C"/>
    <w:rsid w:val="00462B8F"/>
    <w:rsid w:val="00462D58"/>
    <w:rsid w:val="00463382"/>
    <w:rsid w:val="00463E5D"/>
    <w:rsid w:val="00463F27"/>
    <w:rsid w:val="00464708"/>
    <w:rsid w:val="00464A19"/>
    <w:rsid w:val="00464AC9"/>
    <w:rsid w:val="00465656"/>
    <w:rsid w:val="00465802"/>
    <w:rsid w:val="00465C72"/>
    <w:rsid w:val="00465EC0"/>
    <w:rsid w:val="00465F3B"/>
    <w:rsid w:val="004666A5"/>
    <w:rsid w:val="00466884"/>
    <w:rsid w:val="00466F68"/>
    <w:rsid w:val="004671E6"/>
    <w:rsid w:val="00467409"/>
    <w:rsid w:val="00467B0A"/>
    <w:rsid w:val="00467BF3"/>
    <w:rsid w:val="004700A8"/>
    <w:rsid w:val="0047070E"/>
    <w:rsid w:val="00470A42"/>
    <w:rsid w:val="0047103C"/>
    <w:rsid w:val="00471E12"/>
    <w:rsid w:val="00472898"/>
    <w:rsid w:val="00472A7D"/>
    <w:rsid w:val="00472DED"/>
    <w:rsid w:val="00472FBF"/>
    <w:rsid w:val="004733C6"/>
    <w:rsid w:val="004735F1"/>
    <w:rsid w:val="00473867"/>
    <w:rsid w:val="004738CA"/>
    <w:rsid w:val="00473A39"/>
    <w:rsid w:val="00473B57"/>
    <w:rsid w:val="0047416D"/>
    <w:rsid w:val="004741F9"/>
    <w:rsid w:val="004744CE"/>
    <w:rsid w:val="004746BD"/>
    <w:rsid w:val="0047471E"/>
    <w:rsid w:val="00474A5E"/>
    <w:rsid w:val="00474CD6"/>
    <w:rsid w:val="00474EF6"/>
    <w:rsid w:val="004752CA"/>
    <w:rsid w:val="00475421"/>
    <w:rsid w:val="00475BC0"/>
    <w:rsid w:val="0047603C"/>
    <w:rsid w:val="00476B36"/>
    <w:rsid w:val="004777C0"/>
    <w:rsid w:val="0047789B"/>
    <w:rsid w:val="00477C22"/>
    <w:rsid w:val="00480624"/>
    <w:rsid w:val="00480A7B"/>
    <w:rsid w:val="00480B0B"/>
    <w:rsid w:val="00481328"/>
    <w:rsid w:val="004816B5"/>
    <w:rsid w:val="00481761"/>
    <w:rsid w:val="00481A30"/>
    <w:rsid w:val="00482768"/>
    <w:rsid w:val="00482A2A"/>
    <w:rsid w:val="00482B82"/>
    <w:rsid w:val="00482E8E"/>
    <w:rsid w:val="00482F3B"/>
    <w:rsid w:val="00482FEC"/>
    <w:rsid w:val="0048315E"/>
    <w:rsid w:val="00483449"/>
    <w:rsid w:val="004834DF"/>
    <w:rsid w:val="00483679"/>
    <w:rsid w:val="00483E56"/>
    <w:rsid w:val="0048425C"/>
    <w:rsid w:val="0048450A"/>
    <w:rsid w:val="0048461D"/>
    <w:rsid w:val="00484A7A"/>
    <w:rsid w:val="00484C1E"/>
    <w:rsid w:val="00484CE8"/>
    <w:rsid w:val="00484F19"/>
    <w:rsid w:val="004852E3"/>
    <w:rsid w:val="004859C2"/>
    <w:rsid w:val="00486520"/>
    <w:rsid w:val="004869FF"/>
    <w:rsid w:val="00486D2A"/>
    <w:rsid w:val="004872F3"/>
    <w:rsid w:val="00490038"/>
    <w:rsid w:val="004903E1"/>
    <w:rsid w:val="004909CD"/>
    <w:rsid w:val="004911A4"/>
    <w:rsid w:val="0049144D"/>
    <w:rsid w:val="00491839"/>
    <w:rsid w:val="00491A8F"/>
    <w:rsid w:val="00491CEB"/>
    <w:rsid w:val="004923A5"/>
    <w:rsid w:val="004923FA"/>
    <w:rsid w:val="00492C6B"/>
    <w:rsid w:val="00492E53"/>
    <w:rsid w:val="00493678"/>
    <w:rsid w:val="00493988"/>
    <w:rsid w:val="0049443E"/>
    <w:rsid w:val="00494972"/>
    <w:rsid w:val="00494D2D"/>
    <w:rsid w:val="004954EE"/>
    <w:rsid w:val="004954FB"/>
    <w:rsid w:val="004958AE"/>
    <w:rsid w:val="004960E0"/>
    <w:rsid w:val="0049715B"/>
    <w:rsid w:val="00497593"/>
    <w:rsid w:val="0049775B"/>
    <w:rsid w:val="00497EBD"/>
    <w:rsid w:val="004A0A73"/>
    <w:rsid w:val="004A14FB"/>
    <w:rsid w:val="004A1831"/>
    <w:rsid w:val="004A186E"/>
    <w:rsid w:val="004A1C73"/>
    <w:rsid w:val="004A1D48"/>
    <w:rsid w:val="004A1F32"/>
    <w:rsid w:val="004A23D7"/>
    <w:rsid w:val="004A3399"/>
    <w:rsid w:val="004A34FB"/>
    <w:rsid w:val="004A3742"/>
    <w:rsid w:val="004A3B53"/>
    <w:rsid w:val="004A3E1B"/>
    <w:rsid w:val="004A4153"/>
    <w:rsid w:val="004A41FC"/>
    <w:rsid w:val="004A4B00"/>
    <w:rsid w:val="004A4C5A"/>
    <w:rsid w:val="004A540A"/>
    <w:rsid w:val="004A5583"/>
    <w:rsid w:val="004A5B1A"/>
    <w:rsid w:val="004A5C99"/>
    <w:rsid w:val="004A63A0"/>
    <w:rsid w:val="004A667B"/>
    <w:rsid w:val="004A66D9"/>
    <w:rsid w:val="004A7746"/>
    <w:rsid w:val="004A79E5"/>
    <w:rsid w:val="004A7D27"/>
    <w:rsid w:val="004B07A9"/>
    <w:rsid w:val="004B101B"/>
    <w:rsid w:val="004B1304"/>
    <w:rsid w:val="004B17C8"/>
    <w:rsid w:val="004B1A95"/>
    <w:rsid w:val="004B1B2C"/>
    <w:rsid w:val="004B1C53"/>
    <w:rsid w:val="004B2730"/>
    <w:rsid w:val="004B2ACC"/>
    <w:rsid w:val="004B3B07"/>
    <w:rsid w:val="004B3F83"/>
    <w:rsid w:val="004B3F8C"/>
    <w:rsid w:val="004B4077"/>
    <w:rsid w:val="004B42FE"/>
    <w:rsid w:val="004B4D6F"/>
    <w:rsid w:val="004B4F1A"/>
    <w:rsid w:val="004B5293"/>
    <w:rsid w:val="004B539E"/>
    <w:rsid w:val="004B5D04"/>
    <w:rsid w:val="004B6184"/>
    <w:rsid w:val="004B69BB"/>
    <w:rsid w:val="004B6DA0"/>
    <w:rsid w:val="004B6FF7"/>
    <w:rsid w:val="004B776F"/>
    <w:rsid w:val="004B78AE"/>
    <w:rsid w:val="004B7A96"/>
    <w:rsid w:val="004B7CDB"/>
    <w:rsid w:val="004C035D"/>
    <w:rsid w:val="004C0D00"/>
    <w:rsid w:val="004C0D1F"/>
    <w:rsid w:val="004C0EC0"/>
    <w:rsid w:val="004C129D"/>
    <w:rsid w:val="004C12C1"/>
    <w:rsid w:val="004C1410"/>
    <w:rsid w:val="004C1ECC"/>
    <w:rsid w:val="004C2203"/>
    <w:rsid w:val="004C240D"/>
    <w:rsid w:val="004C2993"/>
    <w:rsid w:val="004C331A"/>
    <w:rsid w:val="004C38A8"/>
    <w:rsid w:val="004C3986"/>
    <w:rsid w:val="004C3ABF"/>
    <w:rsid w:val="004C41F4"/>
    <w:rsid w:val="004C467B"/>
    <w:rsid w:val="004C4809"/>
    <w:rsid w:val="004C4896"/>
    <w:rsid w:val="004C4B45"/>
    <w:rsid w:val="004C4E0B"/>
    <w:rsid w:val="004C5185"/>
    <w:rsid w:val="004C550A"/>
    <w:rsid w:val="004C57B2"/>
    <w:rsid w:val="004C5C36"/>
    <w:rsid w:val="004C605A"/>
    <w:rsid w:val="004C6F92"/>
    <w:rsid w:val="004C73A6"/>
    <w:rsid w:val="004C7688"/>
    <w:rsid w:val="004D022B"/>
    <w:rsid w:val="004D037F"/>
    <w:rsid w:val="004D09F5"/>
    <w:rsid w:val="004D0B8E"/>
    <w:rsid w:val="004D0C94"/>
    <w:rsid w:val="004D0CA0"/>
    <w:rsid w:val="004D0EA5"/>
    <w:rsid w:val="004D1B98"/>
    <w:rsid w:val="004D1CBA"/>
    <w:rsid w:val="004D24B0"/>
    <w:rsid w:val="004D281A"/>
    <w:rsid w:val="004D369F"/>
    <w:rsid w:val="004D3946"/>
    <w:rsid w:val="004D3EA8"/>
    <w:rsid w:val="004D412A"/>
    <w:rsid w:val="004D429B"/>
    <w:rsid w:val="004D43BE"/>
    <w:rsid w:val="004D44A3"/>
    <w:rsid w:val="004D48DC"/>
    <w:rsid w:val="004D4EE3"/>
    <w:rsid w:val="004D535D"/>
    <w:rsid w:val="004D54C8"/>
    <w:rsid w:val="004D553D"/>
    <w:rsid w:val="004D55E5"/>
    <w:rsid w:val="004D57B2"/>
    <w:rsid w:val="004D6421"/>
    <w:rsid w:val="004D6F0E"/>
    <w:rsid w:val="004D6F3B"/>
    <w:rsid w:val="004D733C"/>
    <w:rsid w:val="004D75E1"/>
    <w:rsid w:val="004D787B"/>
    <w:rsid w:val="004D7EA7"/>
    <w:rsid w:val="004D7FB7"/>
    <w:rsid w:val="004E013E"/>
    <w:rsid w:val="004E0943"/>
    <w:rsid w:val="004E0B10"/>
    <w:rsid w:val="004E0B1B"/>
    <w:rsid w:val="004E18F4"/>
    <w:rsid w:val="004E19CA"/>
    <w:rsid w:val="004E1ACE"/>
    <w:rsid w:val="004E1B43"/>
    <w:rsid w:val="004E1C38"/>
    <w:rsid w:val="004E2488"/>
    <w:rsid w:val="004E26E5"/>
    <w:rsid w:val="004E2C61"/>
    <w:rsid w:val="004E2EF7"/>
    <w:rsid w:val="004E33E6"/>
    <w:rsid w:val="004E3572"/>
    <w:rsid w:val="004E3871"/>
    <w:rsid w:val="004E3AAF"/>
    <w:rsid w:val="004E42E5"/>
    <w:rsid w:val="004E4830"/>
    <w:rsid w:val="004E49B9"/>
    <w:rsid w:val="004E4AD5"/>
    <w:rsid w:val="004E4DFA"/>
    <w:rsid w:val="004E5468"/>
    <w:rsid w:val="004E56C2"/>
    <w:rsid w:val="004E5827"/>
    <w:rsid w:val="004E5AE1"/>
    <w:rsid w:val="004E5B3F"/>
    <w:rsid w:val="004E5CEF"/>
    <w:rsid w:val="004E6231"/>
    <w:rsid w:val="004E6284"/>
    <w:rsid w:val="004E633C"/>
    <w:rsid w:val="004E669E"/>
    <w:rsid w:val="004E66CE"/>
    <w:rsid w:val="004E6ACB"/>
    <w:rsid w:val="004E718D"/>
    <w:rsid w:val="004E7411"/>
    <w:rsid w:val="004E7D6E"/>
    <w:rsid w:val="004E7D94"/>
    <w:rsid w:val="004E7ED3"/>
    <w:rsid w:val="004F07E6"/>
    <w:rsid w:val="004F0AD8"/>
    <w:rsid w:val="004F0C51"/>
    <w:rsid w:val="004F0D26"/>
    <w:rsid w:val="004F1203"/>
    <w:rsid w:val="004F2609"/>
    <w:rsid w:val="004F26F6"/>
    <w:rsid w:val="004F2A06"/>
    <w:rsid w:val="004F2A43"/>
    <w:rsid w:val="004F2ABE"/>
    <w:rsid w:val="004F30C4"/>
    <w:rsid w:val="004F3CB5"/>
    <w:rsid w:val="004F4622"/>
    <w:rsid w:val="004F473E"/>
    <w:rsid w:val="004F48B4"/>
    <w:rsid w:val="004F4F58"/>
    <w:rsid w:val="004F5C53"/>
    <w:rsid w:val="004F5FE0"/>
    <w:rsid w:val="004F68A8"/>
    <w:rsid w:val="004F6CEF"/>
    <w:rsid w:val="004F701C"/>
    <w:rsid w:val="004F7071"/>
    <w:rsid w:val="004F757F"/>
    <w:rsid w:val="004F75B7"/>
    <w:rsid w:val="004F7650"/>
    <w:rsid w:val="004F7BE1"/>
    <w:rsid w:val="004F7DBA"/>
    <w:rsid w:val="004F7FAD"/>
    <w:rsid w:val="005000F5"/>
    <w:rsid w:val="0050050B"/>
    <w:rsid w:val="005006DF"/>
    <w:rsid w:val="00500A5D"/>
    <w:rsid w:val="0050196D"/>
    <w:rsid w:val="00501A4F"/>
    <w:rsid w:val="00501FC0"/>
    <w:rsid w:val="0050227F"/>
    <w:rsid w:val="005022F8"/>
    <w:rsid w:val="0050240B"/>
    <w:rsid w:val="00502957"/>
    <w:rsid w:val="00502AB3"/>
    <w:rsid w:val="00502B4E"/>
    <w:rsid w:val="00502E91"/>
    <w:rsid w:val="0050318F"/>
    <w:rsid w:val="005035EB"/>
    <w:rsid w:val="00503ACD"/>
    <w:rsid w:val="00503BE3"/>
    <w:rsid w:val="00503E67"/>
    <w:rsid w:val="00504015"/>
    <w:rsid w:val="005046A1"/>
    <w:rsid w:val="00504C85"/>
    <w:rsid w:val="00504F72"/>
    <w:rsid w:val="00504F82"/>
    <w:rsid w:val="005053A8"/>
    <w:rsid w:val="0050561B"/>
    <w:rsid w:val="00505912"/>
    <w:rsid w:val="00505AB1"/>
    <w:rsid w:val="00505C71"/>
    <w:rsid w:val="00505E26"/>
    <w:rsid w:val="00506324"/>
    <w:rsid w:val="0050632F"/>
    <w:rsid w:val="005070CB"/>
    <w:rsid w:val="00507168"/>
    <w:rsid w:val="0050785E"/>
    <w:rsid w:val="005102B8"/>
    <w:rsid w:val="00510CAF"/>
    <w:rsid w:val="005111BB"/>
    <w:rsid w:val="0051153F"/>
    <w:rsid w:val="00511624"/>
    <w:rsid w:val="00511740"/>
    <w:rsid w:val="0051181E"/>
    <w:rsid w:val="00511E22"/>
    <w:rsid w:val="00511FA4"/>
    <w:rsid w:val="00511FE6"/>
    <w:rsid w:val="00512290"/>
    <w:rsid w:val="00512366"/>
    <w:rsid w:val="0051245F"/>
    <w:rsid w:val="00513005"/>
    <w:rsid w:val="0051334E"/>
    <w:rsid w:val="00513762"/>
    <w:rsid w:val="0051376E"/>
    <w:rsid w:val="005137D8"/>
    <w:rsid w:val="00513B3B"/>
    <w:rsid w:val="00513B56"/>
    <w:rsid w:val="0051438C"/>
    <w:rsid w:val="00514617"/>
    <w:rsid w:val="00514BDF"/>
    <w:rsid w:val="005153F9"/>
    <w:rsid w:val="005155A6"/>
    <w:rsid w:val="00515DEC"/>
    <w:rsid w:val="00516121"/>
    <w:rsid w:val="00516184"/>
    <w:rsid w:val="00516882"/>
    <w:rsid w:val="00516FA1"/>
    <w:rsid w:val="005176B4"/>
    <w:rsid w:val="00517DE1"/>
    <w:rsid w:val="00520458"/>
    <w:rsid w:val="0052047D"/>
    <w:rsid w:val="00520568"/>
    <w:rsid w:val="005206C5"/>
    <w:rsid w:val="005208E0"/>
    <w:rsid w:val="00521B53"/>
    <w:rsid w:val="0052273F"/>
    <w:rsid w:val="00522CC6"/>
    <w:rsid w:val="00522D73"/>
    <w:rsid w:val="00522E54"/>
    <w:rsid w:val="00523162"/>
    <w:rsid w:val="00523713"/>
    <w:rsid w:val="0052377C"/>
    <w:rsid w:val="00523B44"/>
    <w:rsid w:val="00523F70"/>
    <w:rsid w:val="0052459C"/>
    <w:rsid w:val="005245E1"/>
    <w:rsid w:val="005248C9"/>
    <w:rsid w:val="00524FAA"/>
    <w:rsid w:val="0052526E"/>
    <w:rsid w:val="005254D5"/>
    <w:rsid w:val="00525AB2"/>
    <w:rsid w:val="00525EC3"/>
    <w:rsid w:val="00525FA0"/>
    <w:rsid w:val="005266CF"/>
    <w:rsid w:val="00526AAC"/>
    <w:rsid w:val="00526FB8"/>
    <w:rsid w:val="005272F0"/>
    <w:rsid w:val="00527478"/>
    <w:rsid w:val="0052781A"/>
    <w:rsid w:val="0053006D"/>
    <w:rsid w:val="005303B2"/>
    <w:rsid w:val="00531524"/>
    <w:rsid w:val="00531A45"/>
    <w:rsid w:val="00532732"/>
    <w:rsid w:val="005328E6"/>
    <w:rsid w:val="005329C2"/>
    <w:rsid w:val="005337D4"/>
    <w:rsid w:val="00533B67"/>
    <w:rsid w:val="00534328"/>
    <w:rsid w:val="00535276"/>
    <w:rsid w:val="005360E7"/>
    <w:rsid w:val="005364C1"/>
    <w:rsid w:val="005368EC"/>
    <w:rsid w:val="00536E19"/>
    <w:rsid w:val="00537178"/>
    <w:rsid w:val="00537655"/>
    <w:rsid w:val="0053777A"/>
    <w:rsid w:val="00540632"/>
    <w:rsid w:val="005406D2"/>
    <w:rsid w:val="00540B30"/>
    <w:rsid w:val="00541048"/>
    <w:rsid w:val="00541296"/>
    <w:rsid w:val="005414DF"/>
    <w:rsid w:val="00541A03"/>
    <w:rsid w:val="00541C38"/>
    <w:rsid w:val="00542127"/>
    <w:rsid w:val="005421CE"/>
    <w:rsid w:val="005422E0"/>
    <w:rsid w:val="005427DD"/>
    <w:rsid w:val="005431FF"/>
    <w:rsid w:val="00543E0F"/>
    <w:rsid w:val="0054409D"/>
    <w:rsid w:val="00544730"/>
    <w:rsid w:val="0054499E"/>
    <w:rsid w:val="00544E4C"/>
    <w:rsid w:val="005454E8"/>
    <w:rsid w:val="00545DC5"/>
    <w:rsid w:val="00545E12"/>
    <w:rsid w:val="00545F8F"/>
    <w:rsid w:val="005460B1"/>
    <w:rsid w:val="005460C0"/>
    <w:rsid w:val="005467FD"/>
    <w:rsid w:val="00546DFB"/>
    <w:rsid w:val="00546E00"/>
    <w:rsid w:val="00547161"/>
    <w:rsid w:val="00547347"/>
    <w:rsid w:val="00547887"/>
    <w:rsid w:val="00547A73"/>
    <w:rsid w:val="00547F58"/>
    <w:rsid w:val="0055021C"/>
    <w:rsid w:val="005502DC"/>
    <w:rsid w:val="005509DA"/>
    <w:rsid w:val="00551A09"/>
    <w:rsid w:val="00551F85"/>
    <w:rsid w:val="0055206D"/>
    <w:rsid w:val="00552232"/>
    <w:rsid w:val="00552534"/>
    <w:rsid w:val="0055285D"/>
    <w:rsid w:val="00552D0B"/>
    <w:rsid w:val="00552D2C"/>
    <w:rsid w:val="00553387"/>
    <w:rsid w:val="005533C7"/>
    <w:rsid w:val="00553B31"/>
    <w:rsid w:val="00553CAE"/>
    <w:rsid w:val="00553FEF"/>
    <w:rsid w:val="00554EC8"/>
    <w:rsid w:val="0055511E"/>
    <w:rsid w:val="005551B7"/>
    <w:rsid w:val="00555454"/>
    <w:rsid w:val="005557D7"/>
    <w:rsid w:val="00555C66"/>
    <w:rsid w:val="005562DF"/>
    <w:rsid w:val="00556620"/>
    <w:rsid w:val="00556EDD"/>
    <w:rsid w:val="00557348"/>
    <w:rsid w:val="00557763"/>
    <w:rsid w:val="0056004E"/>
    <w:rsid w:val="005602F4"/>
    <w:rsid w:val="0056123F"/>
    <w:rsid w:val="00561422"/>
    <w:rsid w:val="005614B1"/>
    <w:rsid w:val="00561C18"/>
    <w:rsid w:val="00563514"/>
    <w:rsid w:val="005637A4"/>
    <w:rsid w:val="005639BA"/>
    <w:rsid w:val="005641B2"/>
    <w:rsid w:val="00564BC2"/>
    <w:rsid w:val="00564D46"/>
    <w:rsid w:val="005654B6"/>
    <w:rsid w:val="00565C03"/>
    <w:rsid w:val="00566190"/>
    <w:rsid w:val="005666A1"/>
    <w:rsid w:val="0056677F"/>
    <w:rsid w:val="005667B7"/>
    <w:rsid w:val="00566CF2"/>
    <w:rsid w:val="005674E0"/>
    <w:rsid w:val="00567671"/>
    <w:rsid w:val="00570392"/>
    <w:rsid w:val="00570530"/>
    <w:rsid w:val="00571A6A"/>
    <w:rsid w:val="00572663"/>
    <w:rsid w:val="00572699"/>
    <w:rsid w:val="00572787"/>
    <w:rsid w:val="00572EEC"/>
    <w:rsid w:val="00573015"/>
    <w:rsid w:val="005747F1"/>
    <w:rsid w:val="00574A53"/>
    <w:rsid w:val="00574B34"/>
    <w:rsid w:val="00574C98"/>
    <w:rsid w:val="00575577"/>
    <w:rsid w:val="005757F9"/>
    <w:rsid w:val="00575935"/>
    <w:rsid w:val="00576171"/>
    <w:rsid w:val="0057629F"/>
    <w:rsid w:val="005765EA"/>
    <w:rsid w:val="00577004"/>
    <w:rsid w:val="00577082"/>
    <w:rsid w:val="005771B8"/>
    <w:rsid w:val="005776A9"/>
    <w:rsid w:val="00577C0E"/>
    <w:rsid w:val="00577EA1"/>
    <w:rsid w:val="005800AF"/>
    <w:rsid w:val="005804D1"/>
    <w:rsid w:val="0058066B"/>
    <w:rsid w:val="00580B93"/>
    <w:rsid w:val="00580E7C"/>
    <w:rsid w:val="00582213"/>
    <w:rsid w:val="00582426"/>
    <w:rsid w:val="005826C0"/>
    <w:rsid w:val="005831F3"/>
    <w:rsid w:val="005832D4"/>
    <w:rsid w:val="0058370A"/>
    <w:rsid w:val="0058439D"/>
    <w:rsid w:val="00584445"/>
    <w:rsid w:val="0058478A"/>
    <w:rsid w:val="005856D7"/>
    <w:rsid w:val="005857D8"/>
    <w:rsid w:val="00585A38"/>
    <w:rsid w:val="00585DF4"/>
    <w:rsid w:val="00586072"/>
    <w:rsid w:val="00586161"/>
    <w:rsid w:val="00587834"/>
    <w:rsid w:val="005879B6"/>
    <w:rsid w:val="00590EE0"/>
    <w:rsid w:val="005920FD"/>
    <w:rsid w:val="00592342"/>
    <w:rsid w:val="005925C4"/>
    <w:rsid w:val="00592DB0"/>
    <w:rsid w:val="00592F6D"/>
    <w:rsid w:val="005932F9"/>
    <w:rsid w:val="0059379B"/>
    <w:rsid w:val="005939DD"/>
    <w:rsid w:val="00593B8B"/>
    <w:rsid w:val="00594050"/>
    <w:rsid w:val="00594129"/>
    <w:rsid w:val="0059455A"/>
    <w:rsid w:val="00594AB3"/>
    <w:rsid w:val="00594B2E"/>
    <w:rsid w:val="00594F86"/>
    <w:rsid w:val="00595267"/>
    <w:rsid w:val="005953AC"/>
    <w:rsid w:val="00595545"/>
    <w:rsid w:val="005956CF"/>
    <w:rsid w:val="005979A4"/>
    <w:rsid w:val="005A0607"/>
    <w:rsid w:val="005A194C"/>
    <w:rsid w:val="005A1AF6"/>
    <w:rsid w:val="005A1B38"/>
    <w:rsid w:val="005A1E0F"/>
    <w:rsid w:val="005A22B2"/>
    <w:rsid w:val="005A26DB"/>
    <w:rsid w:val="005A2B12"/>
    <w:rsid w:val="005A31EF"/>
    <w:rsid w:val="005A36CA"/>
    <w:rsid w:val="005A3B5B"/>
    <w:rsid w:val="005A3E17"/>
    <w:rsid w:val="005A3F4C"/>
    <w:rsid w:val="005A3F7D"/>
    <w:rsid w:val="005A4ED9"/>
    <w:rsid w:val="005A5017"/>
    <w:rsid w:val="005A50DD"/>
    <w:rsid w:val="005A523F"/>
    <w:rsid w:val="005A5701"/>
    <w:rsid w:val="005A5DF7"/>
    <w:rsid w:val="005A5F09"/>
    <w:rsid w:val="005A679A"/>
    <w:rsid w:val="005A7509"/>
    <w:rsid w:val="005A78C7"/>
    <w:rsid w:val="005A7CC0"/>
    <w:rsid w:val="005B0134"/>
    <w:rsid w:val="005B01EE"/>
    <w:rsid w:val="005B0422"/>
    <w:rsid w:val="005B07C9"/>
    <w:rsid w:val="005B1027"/>
    <w:rsid w:val="005B17E1"/>
    <w:rsid w:val="005B19B5"/>
    <w:rsid w:val="005B1A84"/>
    <w:rsid w:val="005B1D23"/>
    <w:rsid w:val="005B2264"/>
    <w:rsid w:val="005B2558"/>
    <w:rsid w:val="005B29E0"/>
    <w:rsid w:val="005B2AEF"/>
    <w:rsid w:val="005B2C2B"/>
    <w:rsid w:val="005B2CCD"/>
    <w:rsid w:val="005B2EE4"/>
    <w:rsid w:val="005B2EE5"/>
    <w:rsid w:val="005B2EFC"/>
    <w:rsid w:val="005B33F2"/>
    <w:rsid w:val="005B358D"/>
    <w:rsid w:val="005B35BB"/>
    <w:rsid w:val="005B3C10"/>
    <w:rsid w:val="005B48D3"/>
    <w:rsid w:val="005B4C80"/>
    <w:rsid w:val="005B4F4B"/>
    <w:rsid w:val="005B51C3"/>
    <w:rsid w:val="005B583A"/>
    <w:rsid w:val="005B6BE8"/>
    <w:rsid w:val="005B6FD5"/>
    <w:rsid w:val="005B79AA"/>
    <w:rsid w:val="005B7E15"/>
    <w:rsid w:val="005C007F"/>
    <w:rsid w:val="005C0A71"/>
    <w:rsid w:val="005C0BA1"/>
    <w:rsid w:val="005C0CB7"/>
    <w:rsid w:val="005C0DC5"/>
    <w:rsid w:val="005C1074"/>
    <w:rsid w:val="005C1962"/>
    <w:rsid w:val="005C1E10"/>
    <w:rsid w:val="005C2336"/>
    <w:rsid w:val="005C23A8"/>
    <w:rsid w:val="005C2BD0"/>
    <w:rsid w:val="005C31A2"/>
    <w:rsid w:val="005C36CC"/>
    <w:rsid w:val="005C49D5"/>
    <w:rsid w:val="005C4F74"/>
    <w:rsid w:val="005C5383"/>
    <w:rsid w:val="005C55A3"/>
    <w:rsid w:val="005C5656"/>
    <w:rsid w:val="005C5E59"/>
    <w:rsid w:val="005C68C0"/>
    <w:rsid w:val="005C6BE3"/>
    <w:rsid w:val="005C6D8D"/>
    <w:rsid w:val="005C740C"/>
    <w:rsid w:val="005C7559"/>
    <w:rsid w:val="005D0626"/>
    <w:rsid w:val="005D0658"/>
    <w:rsid w:val="005D08C3"/>
    <w:rsid w:val="005D0AD7"/>
    <w:rsid w:val="005D0EFD"/>
    <w:rsid w:val="005D1254"/>
    <w:rsid w:val="005D1692"/>
    <w:rsid w:val="005D1845"/>
    <w:rsid w:val="005D2598"/>
    <w:rsid w:val="005D338E"/>
    <w:rsid w:val="005D35BA"/>
    <w:rsid w:val="005D3B41"/>
    <w:rsid w:val="005D3B6B"/>
    <w:rsid w:val="005D3D0B"/>
    <w:rsid w:val="005D4340"/>
    <w:rsid w:val="005D4733"/>
    <w:rsid w:val="005D47D1"/>
    <w:rsid w:val="005D573D"/>
    <w:rsid w:val="005D5A62"/>
    <w:rsid w:val="005D5AE1"/>
    <w:rsid w:val="005D5DFA"/>
    <w:rsid w:val="005D5E42"/>
    <w:rsid w:val="005D5E5C"/>
    <w:rsid w:val="005D6665"/>
    <w:rsid w:val="005D66ED"/>
    <w:rsid w:val="005D67A6"/>
    <w:rsid w:val="005D69B1"/>
    <w:rsid w:val="005D6D13"/>
    <w:rsid w:val="005D748F"/>
    <w:rsid w:val="005E013F"/>
    <w:rsid w:val="005E1723"/>
    <w:rsid w:val="005E1D00"/>
    <w:rsid w:val="005E1FFB"/>
    <w:rsid w:val="005E2286"/>
    <w:rsid w:val="005E2A4D"/>
    <w:rsid w:val="005E2ACE"/>
    <w:rsid w:val="005E2D40"/>
    <w:rsid w:val="005E353D"/>
    <w:rsid w:val="005E3A61"/>
    <w:rsid w:val="005E3ABB"/>
    <w:rsid w:val="005E3C74"/>
    <w:rsid w:val="005E402C"/>
    <w:rsid w:val="005E4085"/>
    <w:rsid w:val="005E43A8"/>
    <w:rsid w:val="005E470E"/>
    <w:rsid w:val="005E47A3"/>
    <w:rsid w:val="005E491F"/>
    <w:rsid w:val="005E4925"/>
    <w:rsid w:val="005E4D09"/>
    <w:rsid w:val="005E4E8E"/>
    <w:rsid w:val="005E52B8"/>
    <w:rsid w:val="005E5F7C"/>
    <w:rsid w:val="005E6093"/>
    <w:rsid w:val="005E62D3"/>
    <w:rsid w:val="005E68BC"/>
    <w:rsid w:val="005E6CE2"/>
    <w:rsid w:val="005E6FDB"/>
    <w:rsid w:val="005E7042"/>
    <w:rsid w:val="005E7073"/>
    <w:rsid w:val="005E7213"/>
    <w:rsid w:val="005E7589"/>
    <w:rsid w:val="005E77D3"/>
    <w:rsid w:val="005E7A02"/>
    <w:rsid w:val="005F019F"/>
    <w:rsid w:val="005F1259"/>
    <w:rsid w:val="005F15D8"/>
    <w:rsid w:val="005F2296"/>
    <w:rsid w:val="005F23A5"/>
    <w:rsid w:val="005F284E"/>
    <w:rsid w:val="005F2D60"/>
    <w:rsid w:val="005F2FB1"/>
    <w:rsid w:val="005F38AD"/>
    <w:rsid w:val="005F4498"/>
    <w:rsid w:val="005F4AED"/>
    <w:rsid w:val="005F4BAB"/>
    <w:rsid w:val="005F4DBF"/>
    <w:rsid w:val="005F4E55"/>
    <w:rsid w:val="005F5691"/>
    <w:rsid w:val="005F5E9E"/>
    <w:rsid w:val="005F6106"/>
    <w:rsid w:val="005F61DF"/>
    <w:rsid w:val="005F73F9"/>
    <w:rsid w:val="005F7510"/>
    <w:rsid w:val="005F785D"/>
    <w:rsid w:val="005F79A0"/>
    <w:rsid w:val="005F7A3E"/>
    <w:rsid w:val="005F7E96"/>
    <w:rsid w:val="006001E7"/>
    <w:rsid w:val="0060091E"/>
    <w:rsid w:val="006019E9"/>
    <w:rsid w:val="00601C07"/>
    <w:rsid w:val="00601F9D"/>
    <w:rsid w:val="006023FC"/>
    <w:rsid w:val="00602456"/>
    <w:rsid w:val="00602CA4"/>
    <w:rsid w:val="00602DF4"/>
    <w:rsid w:val="0060308C"/>
    <w:rsid w:val="006032A7"/>
    <w:rsid w:val="006033F1"/>
    <w:rsid w:val="0060366C"/>
    <w:rsid w:val="00603AA0"/>
    <w:rsid w:val="00603DAE"/>
    <w:rsid w:val="0060419B"/>
    <w:rsid w:val="00604245"/>
    <w:rsid w:val="006045FE"/>
    <w:rsid w:val="006046E5"/>
    <w:rsid w:val="00604AC9"/>
    <w:rsid w:val="006056A2"/>
    <w:rsid w:val="00605C30"/>
    <w:rsid w:val="00605C46"/>
    <w:rsid w:val="00605CD7"/>
    <w:rsid w:val="0060606D"/>
    <w:rsid w:val="00606425"/>
    <w:rsid w:val="00606599"/>
    <w:rsid w:val="006065C4"/>
    <w:rsid w:val="006065CA"/>
    <w:rsid w:val="00606634"/>
    <w:rsid w:val="0060690E"/>
    <w:rsid w:val="00606999"/>
    <w:rsid w:val="00606B27"/>
    <w:rsid w:val="00606D09"/>
    <w:rsid w:val="0060786D"/>
    <w:rsid w:val="00610113"/>
    <w:rsid w:val="006102CA"/>
    <w:rsid w:val="006104E2"/>
    <w:rsid w:val="0061072A"/>
    <w:rsid w:val="00610E0D"/>
    <w:rsid w:val="0061107C"/>
    <w:rsid w:val="00611189"/>
    <w:rsid w:val="00611287"/>
    <w:rsid w:val="00611714"/>
    <w:rsid w:val="00611715"/>
    <w:rsid w:val="00611855"/>
    <w:rsid w:val="00611B38"/>
    <w:rsid w:val="006122C1"/>
    <w:rsid w:val="006136B7"/>
    <w:rsid w:val="006136FD"/>
    <w:rsid w:val="00613724"/>
    <w:rsid w:val="00613A0E"/>
    <w:rsid w:val="00613AAE"/>
    <w:rsid w:val="00613CF3"/>
    <w:rsid w:val="0061439E"/>
    <w:rsid w:val="0061446B"/>
    <w:rsid w:val="0061478D"/>
    <w:rsid w:val="00614929"/>
    <w:rsid w:val="00614B16"/>
    <w:rsid w:val="00615302"/>
    <w:rsid w:val="006155C4"/>
    <w:rsid w:val="006166E9"/>
    <w:rsid w:val="0061726A"/>
    <w:rsid w:val="006178C6"/>
    <w:rsid w:val="00617F52"/>
    <w:rsid w:val="00620135"/>
    <w:rsid w:val="006209A8"/>
    <w:rsid w:val="00620BA3"/>
    <w:rsid w:val="00620D74"/>
    <w:rsid w:val="0062130E"/>
    <w:rsid w:val="00621318"/>
    <w:rsid w:val="006224C1"/>
    <w:rsid w:val="00622538"/>
    <w:rsid w:val="00622792"/>
    <w:rsid w:val="006227DA"/>
    <w:rsid w:val="006227E2"/>
    <w:rsid w:val="00622C55"/>
    <w:rsid w:val="00623DF9"/>
    <w:rsid w:val="00624075"/>
    <w:rsid w:val="00624561"/>
    <w:rsid w:val="006245CF"/>
    <w:rsid w:val="00624960"/>
    <w:rsid w:val="00624E24"/>
    <w:rsid w:val="00624E2C"/>
    <w:rsid w:val="00624F02"/>
    <w:rsid w:val="00625084"/>
    <w:rsid w:val="00625A03"/>
    <w:rsid w:val="00625B2F"/>
    <w:rsid w:val="00626187"/>
    <w:rsid w:val="00626984"/>
    <w:rsid w:val="00626C24"/>
    <w:rsid w:val="006271D9"/>
    <w:rsid w:val="00627F32"/>
    <w:rsid w:val="006303EF"/>
    <w:rsid w:val="0063084D"/>
    <w:rsid w:val="006308F0"/>
    <w:rsid w:val="0063091A"/>
    <w:rsid w:val="00630BB7"/>
    <w:rsid w:val="00631186"/>
    <w:rsid w:val="00631339"/>
    <w:rsid w:val="006313F5"/>
    <w:rsid w:val="0063193D"/>
    <w:rsid w:val="00632061"/>
    <w:rsid w:val="00632592"/>
    <w:rsid w:val="00632655"/>
    <w:rsid w:val="00632745"/>
    <w:rsid w:val="00632AF4"/>
    <w:rsid w:val="00632B84"/>
    <w:rsid w:val="006333A3"/>
    <w:rsid w:val="00633683"/>
    <w:rsid w:val="006337ED"/>
    <w:rsid w:val="006346B7"/>
    <w:rsid w:val="00634865"/>
    <w:rsid w:val="00634F79"/>
    <w:rsid w:val="00635631"/>
    <w:rsid w:val="00635980"/>
    <w:rsid w:val="00635E0B"/>
    <w:rsid w:val="00635EC5"/>
    <w:rsid w:val="00636477"/>
    <w:rsid w:val="00636B38"/>
    <w:rsid w:val="006373C5"/>
    <w:rsid w:val="00637486"/>
    <w:rsid w:val="006376ED"/>
    <w:rsid w:val="0063777F"/>
    <w:rsid w:val="00637AC7"/>
    <w:rsid w:val="00637D6C"/>
    <w:rsid w:val="006406C4"/>
    <w:rsid w:val="00640734"/>
    <w:rsid w:val="006408FB"/>
    <w:rsid w:val="00640936"/>
    <w:rsid w:val="00640A23"/>
    <w:rsid w:val="00640C20"/>
    <w:rsid w:val="006418AF"/>
    <w:rsid w:val="00641B34"/>
    <w:rsid w:val="00641D61"/>
    <w:rsid w:val="00642430"/>
    <w:rsid w:val="006425E4"/>
    <w:rsid w:val="0064260A"/>
    <w:rsid w:val="00643543"/>
    <w:rsid w:val="006448F8"/>
    <w:rsid w:val="006453C5"/>
    <w:rsid w:val="006458EC"/>
    <w:rsid w:val="00645F23"/>
    <w:rsid w:val="00646B3D"/>
    <w:rsid w:val="00646C1B"/>
    <w:rsid w:val="00647477"/>
    <w:rsid w:val="006475CE"/>
    <w:rsid w:val="00647C1C"/>
    <w:rsid w:val="00647EB3"/>
    <w:rsid w:val="00650B4A"/>
    <w:rsid w:val="00651138"/>
    <w:rsid w:val="006511A3"/>
    <w:rsid w:val="00651807"/>
    <w:rsid w:val="00651A62"/>
    <w:rsid w:val="00651E68"/>
    <w:rsid w:val="00652018"/>
    <w:rsid w:val="006520A7"/>
    <w:rsid w:val="006527A8"/>
    <w:rsid w:val="00653100"/>
    <w:rsid w:val="006535F3"/>
    <w:rsid w:val="00653FA4"/>
    <w:rsid w:val="00654B06"/>
    <w:rsid w:val="006550B5"/>
    <w:rsid w:val="006559C3"/>
    <w:rsid w:val="00655A00"/>
    <w:rsid w:val="00655A3B"/>
    <w:rsid w:val="006561D7"/>
    <w:rsid w:val="0065633E"/>
    <w:rsid w:val="0065652F"/>
    <w:rsid w:val="006565BF"/>
    <w:rsid w:val="006566F6"/>
    <w:rsid w:val="00656A22"/>
    <w:rsid w:val="00656C30"/>
    <w:rsid w:val="00657213"/>
    <w:rsid w:val="00657611"/>
    <w:rsid w:val="00657C0B"/>
    <w:rsid w:val="00657D09"/>
    <w:rsid w:val="00660FB3"/>
    <w:rsid w:val="006610A6"/>
    <w:rsid w:val="006613BB"/>
    <w:rsid w:val="006613E6"/>
    <w:rsid w:val="006616A5"/>
    <w:rsid w:val="00661C98"/>
    <w:rsid w:val="00661E38"/>
    <w:rsid w:val="00661E6C"/>
    <w:rsid w:val="0066237F"/>
    <w:rsid w:val="00662E47"/>
    <w:rsid w:val="006632F9"/>
    <w:rsid w:val="006638CB"/>
    <w:rsid w:val="006638EF"/>
    <w:rsid w:val="00663B82"/>
    <w:rsid w:val="00663BF7"/>
    <w:rsid w:val="00663C12"/>
    <w:rsid w:val="00663EDB"/>
    <w:rsid w:val="00664219"/>
    <w:rsid w:val="00664482"/>
    <w:rsid w:val="00664DA9"/>
    <w:rsid w:val="0066598D"/>
    <w:rsid w:val="006659BE"/>
    <w:rsid w:val="00665B1A"/>
    <w:rsid w:val="00665E7A"/>
    <w:rsid w:val="00665F2F"/>
    <w:rsid w:val="00666945"/>
    <w:rsid w:val="00666C63"/>
    <w:rsid w:val="00666E11"/>
    <w:rsid w:val="00670201"/>
    <w:rsid w:val="00670A6D"/>
    <w:rsid w:val="00670E46"/>
    <w:rsid w:val="00671CBE"/>
    <w:rsid w:val="00671D78"/>
    <w:rsid w:val="00671EF5"/>
    <w:rsid w:val="00672DC7"/>
    <w:rsid w:val="00672DD5"/>
    <w:rsid w:val="00673566"/>
    <w:rsid w:val="00673610"/>
    <w:rsid w:val="00674298"/>
    <w:rsid w:val="00674346"/>
    <w:rsid w:val="00675797"/>
    <w:rsid w:val="00675919"/>
    <w:rsid w:val="00675A26"/>
    <w:rsid w:val="00675F26"/>
    <w:rsid w:val="00675F94"/>
    <w:rsid w:val="00676100"/>
    <w:rsid w:val="006764B3"/>
    <w:rsid w:val="00676C85"/>
    <w:rsid w:val="00677605"/>
    <w:rsid w:val="00677649"/>
    <w:rsid w:val="00677856"/>
    <w:rsid w:val="00677D51"/>
    <w:rsid w:val="0068029C"/>
    <w:rsid w:val="0068062F"/>
    <w:rsid w:val="00680BDC"/>
    <w:rsid w:val="00680F24"/>
    <w:rsid w:val="0068135E"/>
    <w:rsid w:val="00681447"/>
    <w:rsid w:val="0068146E"/>
    <w:rsid w:val="00681683"/>
    <w:rsid w:val="00681700"/>
    <w:rsid w:val="00682E00"/>
    <w:rsid w:val="00683FDC"/>
    <w:rsid w:val="0068420A"/>
    <w:rsid w:val="006847AF"/>
    <w:rsid w:val="00684A24"/>
    <w:rsid w:val="006858E7"/>
    <w:rsid w:val="00685AF2"/>
    <w:rsid w:val="00685B20"/>
    <w:rsid w:val="00687182"/>
    <w:rsid w:val="00687AFB"/>
    <w:rsid w:val="00687B79"/>
    <w:rsid w:val="00687E61"/>
    <w:rsid w:val="00687FDD"/>
    <w:rsid w:val="00690064"/>
    <w:rsid w:val="006905C6"/>
    <w:rsid w:val="006907C5"/>
    <w:rsid w:val="00690A19"/>
    <w:rsid w:val="00690E16"/>
    <w:rsid w:val="0069109A"/>
    <w:rsid w:val="00691446"/>
    <w:rsid w:val="006917CD"/>
    <w:rsid w:val="00691B34"/>
    <w:rsid w:val="00691D95"/>
    <w:rsid w:val="00691DFE"/>
    <w:rsid w:val="006924C1"/>
    <w:rsid w:val="00692780"/>
    <w:rsid w:val="00692A00"/>
    <w:rsid w:val="006934ED"/>
    <w:rsid w:val="00693548"/>
    <w:rsid w:val="00693595"/>
    <w:rsid w:val="00693928"/>
    <w:rsid w:val="006939D7"/>
    <w:rsid w:val="006941FC"/>
    <w:rsid w:val="006947A9"/>
    <w:rsid w:val="006949D2"/>
    <w:rsid w:val="00694C06"/>
    <w:rsid w:val="00694C5F"/>
    <w:rsid w:val="00695140"/>
    <w:rsid w:val="006955B2"/>
    <w:rsid w:val="00695BFF"/>
    <w:rsid w:val="00696587"/>
    <w:rsid w:val="00696917"/>
    <w:rsid w:val="006971D7"/>
    <w:rsid w:val="0069746E"/>
    <w:rsid w:val="00697544"/>
    <w:rsid w:val="00697946"/>
    <w:rsid w:val="00697C4E"/>
    <w:rsid w:val="006A028F"/>
    <w:rsid w:val="006A0AF2"/>
    <w:rsid w:val="006A0DE8"/>
    <w:rsid w:val="006A1331"/>
    <w:rsid w:val="006A14AE"/>
    <w:rsid w:val="006A15B9"/>
    <w:rsid w:val="006A2333"/>
    <w:rsid w:val="006A23D3"/>
    <w:rsid w:val="006A38F5"/>
    <w:rsid w:val="006A3903"/>
    <w:rsid w:val="006A3F08"/>
    <w:rsid w:val="006A4A9C"/>
    <w:rsid w:val="006A4D43"/>
    <w:rsid w:val="006A5A30"/>
    <w:rsid w:val="006A6325"/>
    <w:rsid w:val="006A6E1D"/>
    <w:rsid w:val="006A71A2"/>
    <w:rsid w:val="006A72F2"/>
    <w:rsid w:val="006A742B"/>
    <w:rsid w:val="006A757A"/>
    <w:rsid w:val="006A77B9"/>
    <w:rsid w:val="006A7A0B"/>
    <w:rsid w:val="006B0328"/>
    <w:rsid w:val="006B15F7"/>
    <w:rsid w:val="006B169E"/>
    <w:rsid w:val="006B177F"/>
    <w:rsid w:val="006B1A42"/>
    <w:rsid w:val="006B1A89"/>
    <w:rsid w:val="006B2842"/>
    <w:rsid w:val="006B2E90"/>
    <w:rsid w:val="006B2E9F"/>
    <w:rsid w:val="006B32AB"/>
    <w:rsid w:val="006B33B4"/>
    <w:rsid w:val="006B388A"/>
    <w:rsid w:val="006B4200"/>
    <w:rsid w:val="006B4253"/>
    <w:rsid w:val="006B43EC"/>
    <w:rsid w:val="006B5691"/>
    <w:rsid w:val="006B58E6"/>
    <w:rsid w:val="006B652D"/>
    <w:rsid w:val="006B65A7"/>
    <w:rsid w:val="006B682E"/>
    <w:rsid w:val="006B68E0"/>
    <w:rsid w:val="006B6C95"/>
    <w:rsid w:val="006B6F8B"/>
    <w:rsid w:val="006B72FB"/>
    <w:rsid w:val="006B7F66"/>
    <w:rsid w:val="006C0D2E"/>
    <w:rsid w:val="006C1910"/>
    <w:rsid w:val="006C1AC7"/>
    <w:rsid w:val="006C209F"/>
    <w:rsid w:val="006C2544"/>
    <w:rsid w:val="006C2606"/>
    <w:rsid w:val="006C320A"/>
    <w:rsid w:val="006C32DC"/>
    <w:rsid w:val="006C3577"/>
    <w:rsid w:val="006C3638"/>
    <w:rsid w:val="006C37F9"/>
    <w:rsid w:val="006C3998"/>
    <w:rsid w:val="006C3D69"/>
    <w:rsid w:val="006C3EC7"/>
    <w:rsid w:val="006C4252"/>
    <w:rsid w:val="006C49B0"/>
    <w:rsid w:val="006C4BC8"/>
    <w:rsid w:val="006C4E53"/>
    <w:rsid w:val="006C56DA"/>
    <w:rsid w:val="006C5846"/>
    <w:rsid w:val="006C58F9"/>
    <w:rsid w:val="006C60BC"/>
    <w:rsid w:val="006C60D0"/>
    <w:rsid w:val="006C6243"/>
    <w:rsid w:val="006C6511"/>
    <w:rsid w:val="006C655B"/>
    <w:rsid w:val="006C6775"/>
    <w:rsid w:val="006C6BE6"/>
    <w:rsid w:val="006C6F8F"/>
    <w:rsid w:val="006C76FB"/>
    <w:rsid w:val="006C79C1"/>
    <w:rsid w:val="006D001F"/>
    <w:rsid w:val="006D087D"/>
    <w:rsid w:val="006D12D0"/>
    <w:rsid w:val="006D13D3"/>
    <w:rsid w:val="006D1668"/>
    <w:rsid w:val="006D1884"/>
    <w:rsid w:val="006D1972"/>
    <w:rsid w:val="006D19FD"/>
    <w:rsid w:val="006D1A13"/>
    <w:rsid w:val="006D1F1E"/>
    <w:rsid w:val="006D2285"/>
    <w:rsid w:val="006D329F"/>
    <w:rsid w:val="006D32F6"/>
    <w:rsid w:val="006D34CC"/>
    <w:rsid w:val="006D4362"/>
    <w:rsid w:val="006D49AC"/>
    <w:rsid w:val="006D4A96"/>
    <w:rsid w:val="006D4AA0"/>
    <w:rsid w:val="006D4B3F"/>
    <w:rsid w:val="006D4C62"/>
    <w:rsid w:val="006D547A"/>
    <w:rsid w:val="006D554A"/>
    <w:rsid w:val="006D56A5"/>
    <w:rsid w:val="006D5A84"/>
    <w:rsid w:val="006D5B3B"/>
    <w:rsid w:val="006D5C23"/>
    <w:rsid w:val="006D60C2"/>
    <w:rsid w:val="006D629F"/>
    <w:rsid w:val="006D67E2"/>
    <w:rsid w:val="006D698F"/>
    <w:rsid w:val="006D6D66"/>
    <w:rsid w:val="006D712C"/>
    <w:rsid w:val="006D7AA0"/>
    <w:rsid w:val="006D7ADA"/>
    <w:rsid w:val="006D7B17"/>
    <w:rsid w:val="006E077F"/>
    <w:rsid w:val="006E0D0F"/>
    <w:rsid w:val="006E1047"/>
    <w:rsid w:val="006E1373"/>
    <w:rsid w:val="006E16AE"/>
    <w:rsid w:val="006E1820"/>
    <w:rsid w:val="006E237B"/>
    <w:rsid w:val="006E29A5"/>
    <w:rsid w:val="006E3763"/>
    <w:rsid w:val="006E37A9"/>
    <w:rsid w:val="006E38D8"/>
    <w:rsid w:val="006E3916"/>
    <w:rsid w:val="006E3A5D"/>
    <w:rsid w:val="006E4250"/>
    <w:rsid w:val="006E43AD"/>
    <w:rsid w:val="006E45C9"/>
    <w:rsid w:val="006E4C13"/>
    <w:rsid w:val="006E4C77"/>
    <w:rsid w:val="006E638A"/>
    <w:rsid w:val="006E6450"/>
    <w:rsid w:val="006E66B8"/>
    <w:rsid w:val="006E69CC"/>
    <w:rsid w:val="006E6A83"/>
    <w:rsid w:val="006E6BD0"/>
    <w:rsid w:val="006E6C7A"/>
    <w:rsid w:val="006E6E90"/>
    <w:rsid w:val="006E7C12"/>
    <w:rsid w:val="006F07C5"/>
    <w:rsid w:val="006F0849"/>
    <w:rsid w:val="006F0A20"/>
    <w:rsid w:val="006F0BE7"/>
    <w:rsid w:val="006F0E5F"/>
    <w:rsid w:val="006F1312"/>
    <w:rsid w:val="006F1D3B"/>
    <w:rsid w:val="006F1D7D"/>
    <w:rsid w:val="006F1DDA"/>
    <w:rsid w:val="006F1EFB"/>
    <w:rsid w:val="006F265F"/>
    <w:rsid w:val="006F32B3"/>
    <w:rsid w:val="006F3389"/>
    <w:rsid w:val="006F41C3"/>
    <w:rsid w:val="006F44B3"/>
    <w:rsid w:val="006F460E"/>
    <w:rsid w:val="006F4DBC"/>
    <w:rsid w:val="006F5135"/>
    <w:rsid w:val="006F54CC"/>
    <w:rsid w:val="006F5528"/>
    <w:rsid w:val="006F552B"/>
    <w:rsid w:val="006F5782"/>
    <w:rsid w:val="006F5850"/>
    <w:rsid w:val="006F6039"/>
    <w:rsid w:val="006F6255"/>
    <w:rsid w:val="006F6659"/>
    <w:rsid w:val="006F70B7"/>
    <w:rsid w:val="006F70F5"/>
    <w:rsid w:val="006F71DA"/>
    <w:rsid w:val="006F7553"/>
    <w:rsid w:val="006F79AB"/>
    <w:rsid w:val="006F7E8D"/>
    <w:rsid w:val="006F7EFA"/>
    <w:rsid w:val="007005DF"/>
    <w:rsid w:val="0070078C"/>
    <w:rsid w:val="0070081B"/>
    <w:rsid w:val="007009F8"/>
    <w:rsid w:val="00700C8C"/>
    <w:rsid w:val="0070113A"/>
    <w:rsid w:val="0070184A"/>
    <w:rsid w:val="00701A88"/>
    <w:rsid w:val="00701ACD"/>
    <w:rsid w:val="00701B21"/>
    <w:rsid w:val="00701CE7"/>
    <w:rsid w:val="00701D40"/>
    <w:rsid w:val="007024F0"/>
    <w:rsid w:val="007026C0"/>
    <w:rsid w:val="007026D6"/>
    <w:rsid w:val="00702909"/>
    <w:rsid w:val="00702CAC"/>
    <w:rsid w:val="007032DC"/>
    <w:rsid w:val="007032E8"/>
    <w:rsid w:val="007034AA"/>
    <w:rsid w:val="00703E35"/>
    <w:rsid w:val="00704168"/>
    <w:rsid w:val="00704686"/>
    <w:rsid w:val="00704C82"/>
    <w:rsid w:val="00704E4F"/>
    <w:rsid w:val="00705989"/>
    <w:rsid w:val="00705BDB"/>
    <w:rsid w:val="00705C33"/>
    <w:rsid w:val="00705FBF"/>
    <w:rsid w:val="007060FE"/>
    <w:rsid w:val="007067B3"/>
    <w:rsid w:val="00706F15"/>
    <w:rsid w:val="00707EF0"/>
    <w:rsid w:val="00710043"/>
    <w:rsid w:val="00710138"/>
    <w:rsid w:val="007105EE"/>
    <w:rsid w:val="00710798"/>
    <w:rsid w:val="007109B3"/>
    <w:rsid w:val="00710A63"/>
    <w:rsid w:val="00710C6F"/>
    <w:rsid w:val="00710E30"/>
    <w:rsid w:val="0071128B"/>
    <w:rsid w:val="00711472"/>
    <w:rsid w:val="00711895"/>
    <w:rsid w:val="007119C8"/>
    <w:rsid w:val="00711ECE"/>
    <w:rsid w:val="00711FDE"/>
    <w:rsid w:val="007130A0"/>
    <w:rsid w:val="00713159"/>
    <w:rsid w:val="007133FE"/>
    <w:rsid w:val="00713598"/>
    <w:rsid w:val="0071382D"/>
    <w:rsid w:val="00713884"/>
    <w:rsid w:val="00713A65"/>
    <w:rsid w:val="00714100"/>
    <w:rsid w:val="00714199"/>
    <w:rsid w:val="007142F6"/>
    <w:rsid w:val="007149A9"/>
    <w:rsid w:val="00714BA7"/>
    <w:rsid w:val="00714DD2"/>
    <w:rsid w:val="00715AFA"/>
    <w:rsid w:val="00715B0A"/>
    <w:rsid w:val="0071610F"/>
    <w:rsid w:val="0071667E"/>
    <w:rsid w:val="007166D2"/>
    <w:rsid w:val="00716880"/>
    <w:rsid w:val="00716A9D"/>
    <w:rsid w:val="00716AF5"/>
    <w:rsid w:val="00716D7F"/>
    <w:rsid w:val="007170CB"/>
    <w:rsid w:val="007174AD"/>
    <w:rsid w:val="007200B1"/>
    <w:rsid w:val="00720B8D"/>
    <w:rsid w:val="00720B93"/>
    <w:rsid w:val="00720E47"/>
    <w:rsid w:val="00721197"/>
    <w:rsid w:val="00721205"/>
    <w:rsid w:val="00721638"/>
    <w:rsid w:val="00721651"/>
    <w:rsid w:val="00721691"/>
    <w:rsid w:val="00721B73"/>
    <w:rsid w:val="00722486"/>
    <w:rsid w:val="00722829"/>
    <w:rsid w:val="00722C14"/>
    <w:rsid w:val="00723705"/>
    <w:rsid w:val="0072384A"/>
    <w:rsid w:val="007238C7"/>
    <w:rsid w:val="00724227"/>
    <w:rsid w:val="00724AC4"/>
    <w:rsid w:val="00724C04"/>
    <w:rsid w:val="00724C3A"/>
    <w:rsid w:val="00724F94"/>
    <w:rsid w:val="0072534C"/>
    <w:rsid w:val="0072540F"/>
    <w:rsid w:val="00725625"/>
    <w:rsid w:val="00725702"/>
    <w:rsid w:val="00725A9C"/>
    <w:rsid w:val="00726775"/>
    <w:rsid w:val="00727C3E"/>
    <w:rsid w:val="00727C66"/>
    <w:rsid w:val="0073032D"/>
    <w:rsid w:val="00730BFB"/>
    <w:rsid w:val="007314F8"/>
    <w:rsid w:val="00731535"/>
    <w:rsid w:val="00731622"/>
    <w:rsid w:val="00731678"/>
    <w:rsid w:val="00731E16"/>
    <w:rsid w:val="00732242"/>
    <w:rsid w:val="00732754"/>
    <w:rsid w:val="0073345B"/>
    <w:rsid w:val="00733BB0"/>
    <w:rsid w:val="00733BB7"/>
    <w:rsid w:val="007342C2"/>
    <w:rsid w:val="00736434"/>
    <w:rsid w:val="00736D52"/>
    <w:rsid w:val="00737584"/>
    <w:rsid w:val="007377F9"/>
    <w:rsid w:val="00737AC2"/>
    <w:rsid w:val="00740627"/>
    <w:rsid w:val="00740D0B"/>
    <w:rsid w:val="00741174"/>
    <w:rsid w:val="00741185"/>
    <w:rsid w:val="007411BA"/>
    <w:rsid w:val="00741476"/>
    <w:rsid w:val="00741869"/>
    <w:rsid w:val="00741A0D"/>
    <w:rsid w:val="0074205F"/>
    <w:rsid w:val="007420AA"/>
    <w:rsid w:val="0074248F"/>
    <w:rsid w:val="007428D4"/>
    <w:rsid w:val="00742B89"/>
    <w:rsid w:val="00742C0B"/>
    <w:rsid w:val="00743050"/>
    <w:rsid w:val="0074383C"/>
    <w:rsid w:val="0074418E"/>
    <w:rsid w:val="007441AA"/>
    <w:rsid w:val="00744662"/>
    <w:rsid w:val="00744948"/>
    <w:rsid w:val="00745109"/>
    <w:rsid w:val="00745870"/>
    <w:rsid w:val="00745A36"/>
    <w:rsid w:val="00745EE3"/>
    <w:rsid w:val="007464DE"/>
    <w:rsid w:val="007465DD"/>
    <w:rsid w:val="00746DD4"/>
    <w:rsid w:val="0074784F"/>
    <w:rsid w:val="007479EF"/>
    <w:rsid w:val="00747DBC"/>
    <w:rsid w:val="00750167"/>
    <w:rsid w:val="00750388"/>
    <w:rsid w:val="00750441"/>
    <w:rsid w:val="00750647"/>
    <w:rsid w:val="0075076B"/>
    <w:rsid w:val="0075095C"/>
    <w:rsid w:val="00750B87"/>
    <w:rsid w:val="00750BBA"/>
    <w:rsid w:val="00750D7F"/>
    <w:rsid w:val="00750E3B"/>
    <w:rsid w:val="00751A4A"/>
    <w:rsid w:val="00751CB1"/>
    <w:rsid w:val="00751E0A"/>
    <w:rsid w:val="00752B7D"/>
    <w:rsid w:val="00752BD0"/>
    <w:rsid w:val="00752D38"/>
    <w:rsid w:val="00753014"/>
    <w:rsid w:val="00753325"/>
    <w:rsid w:val="00753575"/>
    <w:rsid w:val="007538D7"/>
    <w:rsid w:val="0075401E"/>
    <w:rsid w:val="00754057"/>
    <w:rsid w:val="0075426C"/>
    <w:rsid w:val="00754389"/>
    <w:rsid w:val="00754659"/>
    <w:rsid w:val="007549D5"/>
    <w:rsid w:val="00754C00"/>
    <w:rsid w:val="007558B2"/>
    <w:rsid w:val="00755922"/>
    <w:rsid w:val="00755C4F"/>
    <w:rsid w:val="00755D63"/>
    <w:rsid w:val="00755E8C"/>
    <w:rsid w:val="00755F24"/>
    <w:rsid w:val="0075620D"/>
    <w:rsid w:val="007562A4"/>
    <w:rsid w:val="0075653A"/>
    <w:rsid w:val="0075669C"/>
    <w:rsid w:val="00756949"/>
    <w:rsid w:val="00756EA1"/>
    <w:rsid w:val="00756FA2"/>
    <w:rsid w:val="007570EA"/>
    <w:rsid w:val="00757491"/>
    <w:rsid w:val="007577E3"/>
    <w:rsid w:val="00757AFA"/>
    <w:rsid w:val="00757CF9"/>
    <w:rsid w:val="00760556"/>
    <w:rsid w:val="00760A57"/>
    <w:rsid w:val="00760A76"/>
    <w:rsid w:val="00760AEE"/>
    <w:rsid w:val="00760B57"/>
    <w:rsid w:val="00761508"/>
    <w:rsid w:val="0076168A"/>
    <w:rsid w:val="00761785"/>
    <w:rsid w:val="007618BB"/>
    <w:rsid w:val="0076191A"/>
    <w:rsid w:val="0076244C"/>
    <w:rsid w:val="00762627"/>
    <w:rsid w:val="00762695"/>
    <w:rsid w:val="00762831"/>
    <w:rsid w:val="00762F01"/>
    <w:rsid w:val="00763581"/>
    <w:rsid w:val="00763A58"/>
    <w:rsid w:val="00763BBB"/>
    <w:rsid w:val="00763F19"/>
    <w:rsid w:val="0076436E"/>
    <w:rsid w:val="0076447C"/>
    <w:rsid w:val="0076463A"/>
    <w:rsid w:val="00764FC1"/>
    <w:rsid w:val="007651E9"/>
    <w:rsid w:val="0076596A"/>
    <w:rsid w:val="00766537"/>
    <w:rsid w:val="007665A0"/>
    <w:rsid w:val="0076732F"/>
    <w:rsid w:val="007676A3"/>
    <w:rsid w:val="007679CC"/>
    <w:rsid w:val="00767B6E"/>
    <w:rsid w:val="00770433"/>
    <w:rsid w:val="007716FE"/>
    <w:rsid w:val="00771986"/>
    <w:rsid w:val="00771CC1"/>
    <w:rsid w:val="00771D68"/>
    <w:rsid w:val="007720E2"/>
    <w:rsid w:val="007726E3"/>
    <w:rsid w:val="007729AC"/>
    <w:rsid w:val="00772C7E"/>
    <w:rsid w:val="007730AD"/>
    <w:rsid w:val="00773707"/>
    <w:rsid w:val="00773DB2"/>
    <w:rsid w:val="00773E7E"/>
    <w:rsid w:val="007741C6"/>
    <w:rsid w:val="00774760"/>
    <w:rsid w:val="00774FD6"/>
    <w:rsid w:val="007750A8"/>
    <w:rsid w:val="00775C6A"/>
    <w:rsid w:val="007760D1"/>
    <w:rsid w:val="007763C5"/>
    <w:rsid w:val="0077668C"/>
    <w:rsid w:val="00776B70"/>
    <w:rsid w:val="00776C6B"/>
    <w:rsid w:val="00776F5E"/>
    <w:rsid w:val="00777E02"/>
    <w:rsid w:val="00777E22"/>
    <w:rsid w:val="00777FC8"/>
    <w:rsid w:val="007800C3"/>
    <w:rsid w:val="0078088D"/>
    <w:rsid w:val="00780C10"/>
    <w:rsid w:val="007811EE"/>
    <w:rsid w:val="007813FD"/>
    <w:rsid w:val="00781422"/>
    <w:rsid w:val="0078180D"/>
    <w:rsid w:val="00781EEF"/>
    <w:rsid w:val="00781FA5"/>
    <w:rsid w:val="00782936"/>
    <w:rsid w:val="00782C2E"/>
    <w:rsid w:val="00782CB2"/>
    <w:rsid w:val="00782E60"/>
    <w:rsid w:val="00783061"/>
    <w:rsid w:val="00783131"/>
    <w:rsid w:val="00783607"/>
    <w:rsid w:val="00783B67"/>
    <w:rsid w:val="00783CA6"/>
    <w:rsid w:val="007840C8"/>
    <w:rsid w:val="0078428E"/>
    <w:rsid w:val="007844B0"/>
    <w:rsid w:val="00784788"/>
    <w:rsid w:val="00784F7E"/>
    <w:rsid w:val="00785371"/>
    <w:rsid w:val="00785485"/>
    <w:rsid w:val="00785826"/>
    <w:rsid w:val="00785922"/>
    <w:rsid w:val="007859CD"/>
    <w:rsid w:val="007859D8"/>
    <w:rsid w:val="00785CBD"/>
    <w:rsid w:val="00785F2E"/>
    <w:rsid w:val="0078616D"/>
    <w:rsid w:val="00786446"/>
    <w:rsid w:val="007867FA"/>
    <w:rsid w:val="00786E47"/>
    <w:rsid w:val="00786F76"/>
    <w:rsid w:val="0078711C"/>
    <w:rsid w:val="007873EC"/>
    <w:rsid w:val="00787F0D"/>
    <w:rsid w:val="007902A4"/>
    <w:rsid w:val="00790371"/>
    <w:rsid w:val="00790C62"/>
    <w:rsid w:val="00790DCB"/>
    <w:rsid w:val="00790E98"/>
    <w:rsid w:val="00791DFD"/>
    <w:rsid w:val="00791E78"/>
    <w:rsid w:val="00791F10"/>
    <w:rsid w:val="00791FB1"/>
    <w:rsid w:val="00792103"/>
    <w:rsid w:val="0079227F"/>
    <w:rsid w:val="0079278F"/>
    <w:rsid w:val="00792B66"/>
    <w:rsid w:val="00792F6A"/>
    <w:rsid w:val="007932FA"/>
    <w:rsid w:val="00793532"/>
    <w:rsid w:val="007936EB"/>
    <w:rsid w:val="0079375D"/>
    <w:rsid w:val="00793B3F"/>
    <w:rsid w:val="00794187"/>
    <w:rsid w:val="00794E05"/>
    <w:rsid w:val="00794E0C"/>
    <w:rsid w:val="0079513D"/>
    <w:rsid w:val="00795274"/>
    <w:rsid w:val="0079537D"/>
    <w:rsid w:val="007953AD"/>
    <w:rsid w:val="00795B9A"/>
    <w:rsid w:val="00796998"/>
    <w:rsid w:val="00796BD4"/>
    <w:rsid w:val="00796C04"/>
    <w:rsid w:val="00797192"/>
    <w:rsid w:val="0079749C"/>
    <w:rsid w:val="007974D3"/>
    <w:rsid w:val="00797879"/>
    <w:rsid w:val="00797A95"/>
    <w:rsid w:val="00797DA6"/>
    <w:rsid w:val="007A0181"/>
    <w:rsid w:val="007A02C8"/>
    <w:rsid w:val="007A054B"/>
    <w:rsid w:val="007A092E"/>
    <w:rsid w:val="007A0A3C"/>
    <w:rsid w:val="007A0EA7"/>
    <w:rsid w:val="007A1722"/>
    <w:rsid w:val="007A17D9"/>
    <w:rsid w:val="007A1864"/>
    <w:rsid w:val="007A1C1D"/>
    <w:rsid w:val="007A2437"/>
    <w:rsid w:val="007A2D80"/>
    <w:rsid w:val="007A2F0C"/>
    <w:rsid w:val="007A301D"/>
    <w:rsid w:val="007A30DC"/>
    <w:rsid w:val="007A3A04"/>
    <w:rsid w:val="007A3DDC"/>
    <w:rsid w:val="007A3FAA"/>
    <w:rsid w:val="007A4149"/>
    <w:rsid w:val="007A4538"/>
    <w:rsid w:val="007A47E6"/>
    <w:rsid w:val="007A48C1"/>
    <w:rsid w:val="007A54A9"/>
    <w:rsid w:val="007A589A"/>
    <w:rsid w:val="007A6928"/>
    <w:rsid w:val="007A6B9A"/>
    <w:rsid w:val="007A6CD4"/>
    <w:rsid w:val="007A7425"/>
    <w:rsid w:val="007A76CD"/>
    <w:rsid w:val="007A79E2"/>
    <w:rsid w:val="007A7F70"/>
    <w:rsid w:val="007B00C2"/>
    <w:rsid w:val="007B04D9"/>
    <w:rsid w:val="007B06C1"/>
    <w:rsid w:val="007B083C"/>
    <w:rsid w:val="007B0879"/>
    <w:rsid w:val="007B0E7A"/>
    <w:rsid w:val="007B0EA0"/>
    <w:rsid w:val="007B112B"/>
    <w:rsid w:val="007B1340"/>
    <w:rsid w:val="007B15BE"/>
    <w:rsid w:val="007B186E"/>
    <w:rsid w:val="007B2126"/>
    <w:rsid w:val="007B2224"/>
    <w:rsid w:val="007B26D2"/>
    <w:rsid w:val="007B2A5B"/>
    <w:rsid w:val="007B2BBC"/>
    <w:rsid w:val="007B30FF"/>
    <w:rsid w:val="007B3242"/>
    <w:rsid w:val="007B3524"/>
    <w:rsid w:val="007B35AF"/>
    <w:rsid w:val="007B36AD"/>
    <w:rsid w:val="007B3898"/>
    <w:rsid w:val="007B3A78"/>
    <w:rsid w:val="007B4E30"/>
    <w:rsid w:val="007B4FF3"/>
    <w:rsid w:val="007B53E5"/>
    <w:rsid w:val="007B5763"/>
    <w:rsid w:val="007B5771"/>
    <w:rsid w:val="007B5907"/>
    <w:rsid w:val="007B5EBA"/>
    <w:rsid w:val="007B6D98"/>
    <w:rsid w:val="007B70FB"/>
    <w:rsid w:val="007B748C"/>
    <w:rsid w:val="007B78A2"/>
    <w:rsid w:val="007C0362"/>
    <w:rsid w:val="007C0382"/>
    <w:rsid w:val="007C04D7"/>
    <w:rsid w:val="007C0A80"/>
    <w:rsid w:val="007C1072"/>
    <w:rsid w:val="007C142A"/>
    <w:rsid w:val="007C14A5"/>
    <w:rsid w:val="007C1C58"/>
    <w:rsid w:val="007C1F67"/>
    <w:rsid w:val="007C34AF"/>
    <w:rsid w:val="007C35C3"/>
    <w:rsid w:val="007C3960"/>
    <w:rsid w:val="007C3C7A"/>
    <w:rsid w:val="007C418C"/>
    <w:rsid w:val="007C42BA"/>
    <w:rsid w:val="007C48DA"/>
    <w:rsid w:val="007C5125"/>
    <w:rsid w:val="007C573A"/>
    <w:rsid w:val="007C5967"/>
    <w:rsid w:val="007C6182"/>
    <w:rsid w:val="007C65E8"/>
    <w:rsid w:val="007C752D"/>
    <w:rsid w:val="007D007F"/>
    <w:rsid w:val="007D07B2"/>
    <w:rsid w:val="007D07F3"/>
    <w:rsid w:val="007D0E23"/>
    <w:rsid w:val="007D1222"/>
    <w:rsid w:val="007D1DA4"/>
    <w:rsid w:val="007D244F"/>
    <w:rsid w:val="007D29A4"/>
    <w:rsid w:val="007D29D3"/>
    <w:rsid w:val="007D2E8C"/>
    <w:rsid w:val="007D36A7"/>
    <w:rsid w:val="007D3827"/>
    <w:rsid w:val="007D3CD8"/>
    <w:rsid w:val="007D408C"/>
    <w:rsid w:val="007D425C"/>
    <w:rsid w:val="007D46CD"/>
    <w:rsid w:val="007D4C5A"/>
    <w:rsid w:val="007D50FF"/>
    <w:rsid w:val="007D5184"/>
    <w:rsid w:val="007D566B"/>
    <w:rsid w:val="007D5D9F"/>
    <w:rsid w:val="007D69C0"/>
    <w:rsid w:val="007D6A55"/>
    <w:rsid w:val="007D6AB2"/>
    <w:rsid w:val="007D7A2E"/>
    <w:rsid w:val="007D7C0A"/>
    <w:rsid w:val="007E030B"/>
    <w:rsid w:val="007E09DD"/>
    <w:rsid w:val="007E0ABB"/>
    <w:rsid w:val="007E0CD5"/>
    <w:rsid w:val="007E0FF8"/>
    <w:rsid w:val="007E1229"/>
    <w:rsid w:val="007E1778"/>
    <w:rsid w:val="007E1DE4"/>
    <w:rsid w:val="007E239B"/>
    <w:rsid w:val="007E26AE"/>
    <w:rsid w:val="007E2C69"/>
    <w:rsid w:val="007E39ED"/>
    <w:rsid w:val="007E3BA0"/>
    <w:rsid w:val="007E3E99"/>
    <w:rsid w:val="007E451B"/>
    <w:rsid w:val="007E4946"/>
    <w:rsid w:val="007E497B"/>
    <w:rsid w:val="007E4D95"/>
    <w:rsid w:val="007E4F1D"/>
    <w:rsid w:val="007E57A6"/>
    <w:rsid w:val="007E5A5B"/>
    <w:rsid w:val="007E60F0"/>
    <w:rsid w:val="007E6B4A"/>
    <w:rsid w:val="007E6C59"/>
    <w:rsid w:val="007E6F56"/>
    <w:rsid w:val="007E706F"/>
    <w:rsid w:val="007E707F"/>
    <w:rsid w:val="007E7F22"/>
    <w:rsid w:val="007F007B"/>
    <w:rsid w:val="007F01D2"/>
    <w:rsid w:val="007F0641"/>
    <w:rsid w:val="007F1151"/>
    <w:rsid w:val="007F122B"/>
    <w:rsid w:val="007F13B3"/>
    <w:rsid w:val="007F1411"/>
    <w:rsid w:val="007F165A"/>
    <w:rsid w:val="007F1DA0"/>
    <w:rsid w:val="007F23CB"/>
    <w:rsid w:val="007F264F"/>
    <w:rsid w:val="007F2DAE"/>
    <w:rsid w:val="007F2F49"/>
    <w:rsid w:val="007F2F54"/>
    <w:rsid w:val="007F2F65"/>
    <w:rsid w:val="007F3038"/>
    <w:rsid w:val="007F30B6"/>
    <w:rsid w:val="007F32FE"/>
    <w:rsid w:val="007F37DF"/>
    <w:rsid w:val="007F3BED"/>
    <w:rsid w:val="007F4895"/>
    <w:rsid w:val="007F4A25"/>
    <w:rsid w:val="007F5819"/>
    <w:rsid w:val="007F58FB"/>
    <w:rsid w:val="007F5F6A"/>
    <w:rsid w:val="007F6627"/>
    <w:rsid w:val="007F6642"/>
    <w:rsid w:val="007F6C1E"/>
    <w:rsid w:val="007F6D2F"/>
    <w:rsid w:val="007F7166"/>
    <w:rsid w:val="007F7507"/>
    <w:rsid w:val="007F7ACF"/>
    <w:rsid w:val="007F7C79"/>
    <w:rsid w:val="0080008D"/>
    <w:rsid w:val="00800214"/>
    <w:rsid w:val="008009F2"/>
    <w:rsid w:val="00800A28"/>
    <w:rsid w:val="00801748"/>
    <w:rsid w:val="008020DD"/>
    <w:rsid w:val="00802ECC"/>
    <w:rsid w:val="008030CC"/>
    <w:rsid w:val="008035D0"/>
    <w:rsid w:val="00803FCE"/>
    <w:rsid w:val="0080495F"/>
    <w:rsid w:val="00804E3F"/>
    <w:rsid w:val="00805060"/>
    <w:rsid w:val="00805483"/>
    <w:rsid w:val="00805485"/>
    <w:rsid w:val="008058B1"/>
    <w:rsid w:val="008063E1"/>
    <w:rsid w:val="00807044"/>
    <w:rsid w:val="008072E4"/>
    <w:rsid w:val="0081085D"/>
    <w:rsid w:val="00810A4B"/>
    <w:rsid w:val="00810CA6"/>
    <w:rsid w:val="00810D0B"/>
    <w:rsid w:val="00811086"/>
    <w:rsid w:val="008113CC"/>
    <w:rsid w:val="00812031"/>
    <w:rsid w:val="00812846"/>
    <w:rsid w:val="008128B7"/>
    <w:rsid w:val="008129EC"/>
    <w:rsid w:val="00812F87"/>
    <w:rsid w:val="00813605"/>
    <w:rsid w:val="0081382C"/>
    <w:rsid w:val="00813F62"/>
    <w:rsid w:val="0081405E"/>
    <w:rsid w:val="008143A1"/>
    <w:rsid w:val="00814951"/>
    <w:rsid w:val="00814AF7"/>
    <w:rsid w:val="00814C77"/>
    <w:rsid w:val="00815111"/>
    <w:rsid w:val="00816069"/>
    <w:rsid w:val="00816E4D"/>
    <w:rsid w:val="00816EBE"/>
    <w:rsid w:val="00816F44"/>
    <w:rsid w:val="00816FCD"/>
    <w:rsid w:val="00817583"/>
    <w:rsid w:val="00817850"/>
    <w:rsid w:val="00820040"/>
    <w:rsid w:val="0082014E"/>
    <w:rsid w:val="00820A92"/>
    <w:rsid w:val="00821358"/>
    <w:rsid w:val="008218D0"/>
    <w:rsid w:val="00821AC0"/>
    <w:rsid w:val="008223B3"/>
    <w:rsid w:val="008224A7"/>
    <w:rsid w:val="00822B1E"/>
    <w:rsid w:val="0082342B"/>
    <w:rsid w:val="00823937"/>
    <w:rsid w:val="00823A8A"/>
    <w:rsid w:val="00823A9E"/>
    <w:rsid w:val="00823AFD"/>
    <w:rsid w:val="00823B4B"/>
    <w:rsid w:val="00823E8C"/>
    <w:rsid w:val="00823F36"/>
    <w:rsid w:val="008251CF"/>
    <w:rsid w:val="00825931"/>
    <w:rsid w:val="00825F94"/>
    <w:rsid w:val="0082600E"/>
    <w:rsid w:val="00826103"/>
    <w:rsid w:val="00826668"/>
    <w:rsid w:val="00826C8F"/>
    <w:rsid w:val="00826D96"/>
    <w:rsid w:val="00827000"/>
    <w:rsid w:val="008277CA"/>
    <w:rsid w:val="00827AD4"/>
    <w:rsid w:val="00830DCF"/>
    <w:rsid w:val="00831077"/>
    <w:rsid w:val="0083166C"/>
    <w:rsid w:val="00831698"/>
    <w:rsid w:val="008316AC"/>
    <w:rsid w:val="008319CF"/>
    <w:rsid w:val="00831A66"/>
    <w:rsid w:val="00831B3D"/>
    <w:rsid w:val="008324AA"/>
    <w:rsid w:val="00833007"/>
    <w:rsid w:val="008331AD"/>
    <w:rsid w:val="008338B7"/>
    <w:rsid w:val="008339EF"/>
    <w:rsid w:val="00833FFC"/>
    <w:rsid w:val="008356BF"/>
    <w:rsid w:val="00836844"/>
    <w:rsid w:val="00836AD9"/>
    <w:rsid w:val="00836AF6"/>
    <w:rsid w:val="00836E10"/>
    <w:rsid w:val="00836F42"/>
    <w:rsid w:val="00837C97"/>
    <w:rsid w:val="00837F29"/>
    <w:rsid w:val="00840231"/>
    <w:rsid w:val="00840E88"/>
    <w:rsid w:val="00840F14"/>
    <w:rsid w:val="00841543"/>
    <w:rsid w:val="00841B12"/>
    <w:rsid w:val="0084204F"/>
    <w:rsid w:val="00842BA0"/>
    <w:rsid w:val="00842C36"/>
    <w:rsid w:val="0084365E"/>
    <w:rsid w:val="00843668"/>
    <w:rsid w:val="00844A91"/>
    <w:rsid w:val="00844B0D"/>
    <w:rsid w:val="00844CCA"/>
    <w:rsid w:val="00844F46"/>
    <w:rsid w:val="00845478"/>
    <w:rsid w:val="008455A8"/>
    <w:rsid w:val="00845B48"/>
    <w:rsid w:val="00845D81"/>
    <w:rsid w:val="00846124"/>
    <w:rsid w:val="0084665E"/>
    <w:rsid w:val="008467A9"/>
    <w:rsid w:val="00846D31"/>
    <w:rsid w:val="00846F8E"/>
    <w:rsid w:val="00847B8D"/>
    <w:rsid w:val="00847C53"/>
    <w:rsid w:val="00847EDD"/>
    <w:rsid w:val="00850145"/>
    <w:rsid w:val="00850321"/>
    <w:rsid w:val="0085038F"/>
    <w:rsid w:val="008506C1"/>
    <w:rsid w:val="008507DF"/>
    <w:rsid w:val="00850808"/>
    <w:rsid w:val="00850858"/>
    <w:rsid w:val="00850966"/>
    <w:rsid w:val="00850AEC"/>
    <w:rsid w:val="00850B85"/>
    <w:rsid w:val="00850C28"/>
    <w:rsid w:val="00851B66"/>
    <w:rsid w:val="00851DF3"/>
    <w:rsid w:val="008521C8"/>
    <w:rsid w:val="00852265"/>
    <w:rsid w:val="00852288"/>
    <w:rsid w:val="00852545"/>
    <w:rsid w:val="00852A03"/>
    <w:rsid w:val="00852DED"/>
    <w:rsid w:val="00852E60"/>
    <w:rsid w:val="00853030"/>
    <w:rsid w:val="00853F83"/>
    <w:rsid w:val="0085400D"/>
    <w:rsid w:val="00854062"/>
    <w:rsid w:val="00854789"/>
    <w:rsid w:val="00854BAA"/>
    <w:rsid w:val="00855089"/>
    <w:rsid w:val="0085575A"/>
    <w:rsid w:val="008559B5"/>
    <w:rsid w:val="00855A02"/>
    <w:rsid w:val="008563F0"/>
    <w:rsid w:val="008566A4"/>
    <w:rsid w:val="00856B9B"/>
    <w:rsid w:val="008575C8"/>
    <w:rsid w:val="00857AAF"/>
    <w:rsid w:val="0086070D"/>
    <w:rsid w:val="00861352"/>
    <w:rsid w:val="0086148E"/>
    <w:rsid w:val="008618E2"/>
    <w:rsid w:val="00861921"/>
    <w:rsid w:val="00861E04"/>
    <w:rsid w:val="008624C1"/>
    <w:rsid w:val="0086297B"/>
    <w:rsid w:val="0086397C"/>
    <w:rsid w:val="00863CBD"/>
    <w:rsid w:val="0086406C"/>
    <w:rsid w:val="008648DF"/>
    <w:rsid w:val="00864A0C"/>
    <w:rsid w:val="00864A8B"/>
    <w:rsid w:val="008658E9"/>
    <w:rsid w:val="00865B02"/>
    <w:rsid w:val="00865BE1"/>
    <w:rsid w:val="008663E4"/>
    <w:rsid w:val="00866F6B"/>
    <w:rsid w:val="00866FB6"/>
    <w:rsid w:val="0086715E"/>
    <w:rsid w:val="00867227"/>
    <w:rsid w:val="00867330"/>
    <w:rsid w:val="008674A9"/>
    <w:rsid w:val="00867E22"/>
    <w:rsid w:val="00867ED8"/>
    <w:rsid w:val="0087023C"/>
    <w:rsid w:val="008702D2"/>
    <w:rsid w:val="0087096F"/>
    <w:rsid w:val="00871A3D"/>
    <w:rsid w:val="00871B62"/>
    <w:rsid w:val="00871F3E"/>
    <w:rsid w:val="00872341"/>
    <w:rsid w:val="008725EA"/>
    <w:rsid w:val="00872621"/>
    <w:rsid w:val="00872EFF"/>
    <w:rsid w:val="00873322"/>
    <w:rsid w:val="00873734"/>
    <w:rsid w:val="008737C9"/>
    <w:rsid w:val="00873CE6"/>
    <w:rsid w:val="00873E56"/>
    <w:rsid w:val="008740F3"/>
    <w:rsid w:val="0087452C"/>
    <w:rsid w:val="00874E00"/>
    <w:rsid w:val="00875423"/>
    <w:rsid w:val="00875D05"/>
    <w:rsid w:val="00875D4D"/>
    <w:rsid w:val="00876108"/>
    <w:rsid w:val="0087647F"/>
    <w:rsid w:val="008768D7"/>
    <w:rsid w:val="00877340"/>
    <w:rsid w:val="008773A4"/>
    <w:rsid w:val="00877494"/>
    <w:rsid w:val="00877815"/>
    <w:rsid w:val="00880D1A"/>
    <w:rsid w:val="00880ECC"/>
    <w:rsid w:val="00881208"/>
    <w:rsid w:val="0088132F"/>
    <w:rsid w:val="00881413"/>
    <w:rsid w:val="00881861"/>
    <w:rsid w:val="00881C20"/>
    <w:rsid w:val="0088205C"/>
    <w:rsid w:val="00882775"/>
    <w:rsid w:val="00882854"/>
    <w:rsid w:val="00882BD0"/>
    <w:rsid w:val="00883A45"/>
    <w:rsid w:val="00884075"/>
    <w:rsid w:val="008847F5"/>
    <w:rsid w:val="00884C9E"/>
    <w:rsid w:val="00884ED0"/>
    <w:rsid w:val="00884EE5"/>
    <w:rsid w:val="008852E2"/>
    <w:rsid w:val="00885BCA"/>
    <w:rsid w:val="00885C37"/>
    <w:rsid w:val="00885C57"/>
    <w:rsid w:val="00885D57"/>
    <w:rsid w:val="00886202"/>
    <w:rsid w:val="008863D0"/>
    <w:rsid w:val="0088653A"/>
    <w:rsid w:val="00886559"/>
    <w:rsid w:val="008866B3"/>
    <w:rsid w:val="008866E3"/>
    <w:rsid w:val="00886728"/>
    <w:rsid w:val="00886744"/>
    <w:rsid w:val="00886B01"/>
    <w:rsid w:val="00887060"/>
    <w:rsid w:val="00887326"/>
    <w:rsid w:val="008876CE"/>
    <w:rsid w:val="00887A92"/>
    <w:rsid w:val="00887CD8"/>
    <w:rsid w:val="00887DB2"/>
    <w:rsid w:val="008904D4"/>
    <w:rsid w:val="00890634"/>
    <w:rsid w:val="00890CB2"/>
    <w:rsid w:val="00890D3F"/>
    <w:rsid w:val="0089177C"/>
    <w:rsid w:val="008919A1"/>
    <w:rsid w:val="00891EC9"/>
    <w:rsid w:val="00892698"/>
    <w:rsid w:val="008928A7"/>
    <w:rsid w:val="00892DE1"/>
    <w:rsid w:val="0089322A"/>
    <w:rsid w:val="00893A9E"/>
    <w:rsid w:val="00893F4C"/>
    <w:rsid w:val="008942C0"/>
    <w:rsid w:val="008944F2"/>
    <w:rsid w:val="0089478B"/>
    <w:rsid w:val="00894AE1"/>
    <w:rsid w:val="00894E2D"/>
    <w:rsid w:val="00895126"/>
    <w:rsid w:val="00895C38"/>
    <w:rsid w:val="008962EF"/>
    <w:rsid w:val="00896944"/>
    <w:rsid w:val="00896FBA"/>
    <w:rsid w:val="008975DD"/>
    <w:rsid w:val="008A0753"/>
    <w:rsid w:val="008A095E"/>
    <w:rsid w:val="008A0AC1"/>
    <w:rsid w:val="008A0B82"/>
    <w:rsid w:val="008A0D2B"/>
    <w:rsid w:val="008A0D58"/>
    <w:rsid w:val="008A10F4"/>
    <w:rsid w:val="008A1499"/>
    <w:rsid w:val="008A29DB"/>
    <w:rsid w:val="008A2E42"/>
    <w:rsid w:val="008A2EC4"/>
    <w:rsid w:val="008A3A44"/>
    <w:rsid w:val="008A4962"/>
    <w:rsid w:val="008A4A61"/>
    <w:rsid w:val="008A4C71"/>
    <w:rsid w:val="008A4FEF"/>
    <w:rsid w:val="008A526B"/>
    <w:rsid w:val="008A5607"/>
    <w:rsid w:val="008A5A7E"/>
    <w:rsid w:val="008A5F8E"/>
    <w:rsid w:val="008A6376"/>
    <w:rsid w:val="008A6840"/>
    <w:rsid w:val="008A68B9"/>
    <w:rsid w:val="008A6BFF"/>
    <w:rsid w:val="008A6ECC"/>
    <w:rsid w:val="008A6F4C"/>
    <w:rsid w:val="008A745F"/>
    <w:rsid w:val="008A74F3"/>
    <w:rsid w:val="008B017C"/>
    <w:rsid w:val="008B0203"/>
    <w:rsid w:val="008B047A"/>
    <w:rsid w:val="008B052D"/>
    <w:rsid w:val="008B077B"/>
    <w:rsid w:val="008B0AEC"/>
    <w:rsid w:val="008B0CDA"/>
    <w:rsid w:val="008B1A12"/>
    <w:rsid w:val="008B1BFB"/>
    <w:rsid w:val="008B1D76"/>
    <w:rsid w:val="008B2529"/>
    <w:rsid w:val="008B2A9D"/>
    <w:rsid w:val="008B30A9"/>
    <w:rsid w:val="008B43AD"/>
    <w:rsid w:val="008B43E1"/>
    <w:rsid w:val="008B4798"/>
    <w:rsid w:val="008B4956"/>
    <w:rsid w:val="008B4A57"/>
    <w:rsid w:val="008B4E84"/>
    <w:rsid w:val="008B5599"/>
    <w:rsid w:val="008B60AB"/>
    <w:rsid w:val="008B6884"/>
    <w:rsid w:val="008B697F"/>
    <w:rsid w:val="008B6C7E"/>
    <w:rsid w:val="008B6DDB"/>
    <w:rsid w:val="008B6E1B"/>
    <w:rsid w:val="008B71AB"/>
    <w:rsid w:val="008B73FA"/>
    <w:rsid w:val="008B74D9"/>
    <w:rsid w:val="008B7759"/>
    <w:rsid w:val="008B7C99"/>
    <w:rsid w:val="008B7D50"/>
    <w:rsid w:val="008C0129"/>
    <w:rsid w:val="008C08CD"/>
    <w:rsid w:val="008C091A"/>
    <w:rsid w:val="008C0B10"/>
    <w:rsid w:val="008C0B31"/>
    <w:rsid w:val="008C0DE1"/>
    <w:rsid w:val="008C1098"/>
    <w:rsid w:val="008C1BC5"/>
    <w:rsid w:val="008C1C2C"/>
    <w:rsid w:val="008C2345"/>
    <w:rsid w:val="008C2C69"/>
    <w:rsid w:val="008C2F3C"/>
    <w:rsid w:val="008C32E0"/>
    <w:rsid w:val="008C33ED"/>
    <w:rsid w:val="008C3844"/>
    <w:rsid w:val="008C388C"/>
    <w:rsid w:val="008C4333"/>
    <w:rsid w:val="008C4A60"/>
    <w:rsid w:val="008C5362"/>
    <w:rsid w:val="008C5A14"/>
    <w:rsid w:val="008C5B0F"/>
    <w:rsid w:val="008C5BC3"/>
    <w:rsid w:val="008C654A"/>
    <w:rsid w:val="008C6D6F"/>
    <w:rsid w:val="008C7786"/>
    <w:rsid w:val="008D0075"/>
    <w:rsid w:val="008D027C"/>
    <w:rsid w:val="008D0ADA"/>
    <w:rsid w:val="008D0F43"/>
    <w:rsid w:val="008D1266"/>
    <w:rsid w:val="008D1935"/>
    <w:rsid w:val="008D1F1F"/>
    <w:rsid w:val="008D1FDF"/>
    <w:rsid w:val="008D2F42"/>
    <w:rsid w:val="008D3723"/>
    <w:rsid w:val="008D3ED7"/>
    <w:rsid w:val="008D41FA"/>
    <w:rsid w:val="008D44C7"/>
    <w:rsid w:val="008D49F8"/>
    <w:rsid w:val="008D4AB4"/>
    <w:rsid w:val="008D4D0A"/>
    <w:rsid w:val="008D5301"/>
    <w:rsid w:val="008D5342"/>
    <w:rsid w:val="008D53A4"/>
    <w:rsid w:val="008D53AD"/>
    <w:rsid w:val="008D6124"/>
    <w:rsid w:val="008D62DF"/>
    <w:rsid w:val="008D67C7"/>
    <w:rsid w:val="008D7183"/>
    <w:rsid w:val="008D7BFA"/>
    <w:rsid w:val="008D7C78"/>
    <w:rsid w:val="008D7F41"/>
    <w:rsid w:val="008E001E"/>
    <w:rsid w:val="008E056A"/>
    <w:rsid w:val="008E06AE"/>
    <w:rsid w:val="008E0FA2"/>
    <w:rsid w:val="008E2293"/>
    <w:rsid w:val="008E2751"/>
    <w:rsid w:val="008E27C5"/>
    <w:rsid w:val="008E27DB"/>
    <w:rsid w:val="008E2945"/>
    <w:rsid w:val="008E2962"/>
    <w:rsid w:val="008E29AA"/>
    <w:rsid w:val="008E31DB"/>
    <w:rsid w:val="008E3AFA"/>
    <w:rsid w:val="008E3BF4"/>
    <w:rsid w:val="008E3EAF"/>
    <w:rsid w:val="008E4076"/>
    <w:rsid w:val="008E4422"/>
    <w:rsid w:val="008E45CB"/>
    <w:rsid w:val="008E483E"/>
    <w:rsid w:val="008E4A0E"/>
    <w:rsid w:val="008E4C42"/>
    <w:rsid w:val="008E56F9"/>
    <w:rsid w:val="008E5841"/>
    <w:rsid w:val="008E5B7F"/>
    <w:rsid w:val="008E602F"/>
    <w:rsid w:val="008E61DC"/>
    <w:rsid w:val="008E61F7"/>
    <w:rsid w:val="008E7073"/>
    <w:rsid w:val="008E70CC"/>
    <w:rsid w:val="008E74B9"/>
    <w:rsid w:val="008E78EA"/>
    <w:rsid w:val="008F0374"/>
    <w:rsid w:val="008F0529"/>
    <w:rsid w:val="008F07CD"/>
    <w:rsid w:val="008F0C42"/>
    <w:rsid w:val="008F0D86"/>
    <w:rsid w:val="008F0F03"/>
    <w:rsid w:val="008F1560"/>
    <w:rsid w:val="008F17FA"/>
    <w:rsid w:val="008F1CB5"/>
    <w:rsid w:val="008F1DDF"/>
    <w:rsid w:val="008F223F"/>
    <w:rsid w:val="008F276C"/>
    <w:rsid w:val="008F2850"/>
    <w:rsid w:val="008F297B"/>
    <w:rsid w:val="008F29E8"/>
    <w:rsid w:val="008F338F"/>
    <w:rsid w:val="008F401F"/>
    <w:rsid w:val="008F48A6"/>
    <w:rsid w:val="008F4E18"/>
    <w:rsid w:val="008F4F63"/>
    <w:rsid w:val="008F5276"/>
    <w:rsid w:val="008F57EE"/>
    <w:rsid w:val="008F6894"/>
    <w:rsid w:val="008F6B5F"/>
    <w:rsid w:val="008F6C42"/>
    <w:rsid w:val="008F703E"/>
    <w:rsid w:val="008F772F"/>
    <w:rsid w:val="008F7760"/>
    <w:rsid w:val="008F7BC4"/>
    <w:rsid w:val="008F7C00"/>
    <w:rsid w:val="0090006B"/>
    <w:rsid w:val="00900E18"/>
    <w:rsid w:val="0090117E"/>
    <w:rsid w:val="00901B57"/>
    <w:rsid w:val="00901D51"/>
    <w:rsid w:val="0090215A"/>
    <w:rsid w:val="00902B34"/>
    <w:rsid w:val="009034C6"/>
    <w:rsid w:val="00903A28"/>
    <w:rsid w:val="00903AA8"/>
    <w:rsid w:val="00903C9C"/>
    <w:rsid w:val="00903D92"/>
    <w:rsid w:val="00903FB5"/>
    <w:rsid w:val="00904429"/>
    <w:rsid w:val="00904E82"/>
    <w:rsid w:val="00905092"/>
    <w:rsid w:val="00905B6B"/>
    <w:rsid w:val="00905FA0"/>
    <w:rsid w:val="009062BE"/>
    <w:rsid w:val="009063C3"/>
    <w:rsid w:val="00906944"/>
    <w:rsid w:val="0090694A"/>
    <w:rsid w:val="00907316"/>
    <w:rsid w:val="009076C6"/>
    <w:rsid w:val="009078FC"/>
    <w:rsid w:val="009105DD"/>
    <w:rsid w:val="00910869"/>
    <w:rsid w:val="00910B20"/>
    <w:rsid w:val="00910B2B"/>
    <w:rsid w:val="00910C9F"/>
    <w:rsid w:val="009111EB"/>
    <w:rsid w:val="009117B2"/>
    <w:rsid w:val="00911A47"/>
    <w:rsid w:val="0091250A"/>
    <w:rsid w:val="0091261F"/>
    <w:rsid w:val="00912B3F"/>
    <w:rsid w:val="00912E91"/>
    <w:rsid w:val="009133EA"/>
    <w:rsid w:val="00913431"/>
    <w:rsid w:val="00913559"/>
    <w:rsid w:val="009135D6"/>
    <w:rsid w:val="00913AAD"/>
    <w:rsid w:val="00913B7E"/>
    <w:rsid w:val="009149DF"/>
    <w:rsid w:val="00914BC5"/>
    <w:rsid w:val="0091501F"/>
    <w:rsid w:val="0091511B"/>
    <w:rsid w:val="0091553A"/>
    <w:rsid w:val="00915F28"/>
    <w:rsid w:val="00916561"/>
    <w:rsid w:val="00916D28"/>
    <w:rsid w:val="00916E54"/>
    <w:rsid w:val="00917027"/>
    <w:rsid w:val="00917070"/>
    <w:rsid w:val="0091736E"/>
    <w:rsid w:val="009175A3"/>
    <w:rsid w:val="00917901"/>
    <w:rsid w:val="00917B02"/>
    <w:rsid w:val="00917C5C"/>
    <w:rsid w:val="0092033A"/>
    <w:rsid w:val="00920C04"/>
    <w:rsid w:val="00920CE7"/>
    <w:rsid w:val="009219CB"/>
    <w:rsid w:val="00921FB7"/>
    <w:rsid w:val="0092228F"/>
    <w:rsid w:val="00922816"/>
    <w:rsid w:val="0092293D"/>
    <w:rsid w:val="00922D14"/>
    <w:rsid w:val="00923488"/>
    <w:rsid w:val="00923B51"/>
    <w:rsid w:val="00923D5A"/>
    <w:rsid w:val="00923DA7"/>
    <w:rsid w:val="00923E0C"/>
    <w:rsid w:val="0092407F"/>
    <w:rsid w:val="009240C5"/>
    <w:rsid w:val="00924290"/>
    <w:rsid w:val="0092491F"/>
    <w:rsid w:val="00924C57"/>
    <w:rsid w:val="00925023"/>
    <w:rsid w:val="0092515F"/>
    <w:rsid w:val="009252D3"/>
    <w:rsid w:val="0092571D"/>
    <w:rsid w:val="009259BA"/>
    <w:rsid w:val="00925C3E"/>
    <w:rsid w:val="00925E7F"/>
    <w:rsid w:val="00927449"/>
    <w:rsid w:val="009275DC"/>
    <w:rsid w:val="0092793E"/>
    <w:rsid w:val="00930034"/>
    <w:rsid w:val="00930332"/>
    <w:rsid w:val="009303B4"/>
    <w:rsid w:val="00930881"/>
    <w:rsid w:val="00930B3D"/>
    <w:rsid w:val="009312F8"/>
    <w:rsid w:val="009314F1"/>
    <w:rsid w:val="00931D04"/>
    <w:rsid w:val="00931D3E"/>
    <w:rsid w:val="00931ECB"/>
    <w:rsid w:val="00931F7D"/>
    <w:rsid w:val="00932352"/>
    <w:rsid w:val="00932460"/>
    <w:rsid w:val="0093279B"/>
    <w:rsid w:val="00932901"/>
    <w:rsid w:val="00932DAC"/>
    <w:rsid w:val="009336AB"/>
    <w:rsid w:val="00933716"/>
    <w:rsid w:val="00933B20"/>
    <w:rsid w:val="0093414B"/>
    <w:rsid w:val="0093442A"/>
    <w:rsid w:val="009347C4"/>
    <w:rsid w:val="00935148"/>
    <w:rsid w:val="0093556C"/>
    <w:rsid w:val="00935BDA"/>
    <w:rsid w:val="00936532"/>
    <w:rsid w:val="00936D12"/>
    <w:rsid w:val="00937E88"/>
    <w:rsid w:val="00937F7E"/>
    <w:rsid w:val="00941ED0"/>
    <w:rsid w:val="00942149"/>
    <w:rsid w:val="009421C4"/>
    <w:rsid w:val="009421FB"/>
    <w:rsid w:val="00942B44"/>
    <w:rsid w:val="0094317E"/>
    <w:rsid w:val="0094372F"/>
    <w:rsid w:val="00943DE6"/>
    <w:rsid w:val="00943FC2"/>
    <w:rsid w:val="00944641"/>
    <w:rsid w:val="00944AB5"/>
    <w:rsid w:val="00945556"/>
    <w:rsid w:val="009458D3"/>
    <w:rsid w:val="00945B41"/>
    <w:rsid w:val="009465EC"/>
    <w:rsid w:val="0094693C"/>
    <w:rsid w:val="00946ADF"/>
    <w:rsid w:val="009472B1"/>
    <w:rsid w:val="009472CA"/>
    <w:rsid w:val="00947548"/>
    <w:rsid w:val="00947ED5"/>
    <w:rsid w:val="0095006D"/>
    <w:rsid w:val="00950173"/>
    <w:rsid w:val="0095029F"/>
    <w:rsid w:val="00950312"/>
    <w:rsid w:val="00950626"/>
    <w:rsid w:val="00950BA5"/>
    <w:rsid w:val="00950FA1"/>
    <w:rsid w:val="00951453"/>
    <w:rsid w:val="00952134"/>
    <w:rsid w:val="0095237B"/>
    <w:rsid w:val="00952968"/>
    <w:rsid w:val="00952DC6"/>
    <w:rsid w:val="00953AF1"/>
    <w:rsid w:val="00953B52"/>
    <w:rsid w:val="00954035"/>
    <w:rsid w:val="00954142"/>
    <w:rsid w:val="0095416F"/>
    <w:rsid w:val="0095449F"/>
    <w:rsid w:val="00954607"/>
    <w:rsid w:val="009551BD"/>
    <w:rsid w:val="0095538F"/>
    <w:rsid w:val="00955659"/>
    <w:rsid w:val="00955AF6"/>
    <w:rsid w:val="00955BFF"/>
    <w:rsid w:val="00955F22"/>
    <w:rsid w:val="00956364"/>
    <w:rsid w:val="009564A7"/>
    <w:rsid w:val="009568F0"/>
    <w:rsid w:val="00956A60"/>
    <w:rsid w:val="00956C79"/>
    <w:rsid w:val="009570DC"/>
    <w:rsid w:val="00957397"/>
    <w:rsid w:val="00957A0B"/>
    <w:rsid w:val="00957B4D"/>
    <w:rsid w:val="00957DC9"/>
    <w:rsid w:val="00957EC3"/>
    <w:rsid w:val="00960175"/>
    <w:rsid w:val="00960545"/>
    <w:rsid w:val="0096070E"/>
    <w:rsid w:val="00960F3C"/>
    <w:rsid w:val="00961634"/>
    <w:rsid w:val="00961850"/>
    <w:rsid w:val="00961953"/>
    <w:rsid w:val="009619B1"/>
    <w:rsid w:val="00961C06"/>
    <w:rsid w:val="009621D7"/>
    <w:rsid w:val="00962437"/>
    <w:rsid w:val="0096265D"/>
    <w:rsid w:val="009626E3"/>
    <w:rsid w:val="00962703"/>
    <w:rsid w:val="009627BC"/>
    <w:rsid w:val="00962A25"/>
    <w:rsid w:val="00962B0A"/>
    <w:rsid w:val="0096300E"/>
    <w:rsid w:val="009633F3"/>
    <w:rsid w:val="0096354A"/>
    <w:rsid w:val="00963A8B"/>
    <w:rsid w:val="00963EB5"/>
    <w:rsid w:val="00964F54"/>
    <w:rsid w:val="009653D6"/>
    <w:rsid w:val="009654D5"/>
    <w:rsid w:val="0096575E"/>
    <w:rsid w:val="00966104"/>
    <w:rsid w:val="009661B5"/>
    <w:rsid w:val="009663E7"/>
    <w:rsid w:val="009663FB"/>
    <w:rsid w:val="00966684"/>
    <w:rsid w:val="009666A7"/>
    <w:rsid w:val="00966CCF"/>
    <w:rsid w:val="00966F22"/>
    <w:rsid w:val="009672FE"/>
    <w:rsid w:val="009673A4"/>
    <w:rsid w:val="009673C7"/>
    <w:rsid w:val="0097048D"/>
    <w:rsid w:val="00971D2B"/>
    <w:rsid w:val="00971EBE"/>
    <w:rsid w:val="009720BA"/>
    <w:rsid w:val="009722AD"/>
    <w:rsid w:val="00972718"/>
    <w:rsid w:val="0097292C"/>
    <w:rsid w:val="00972ACD"/>
    <w:rsid w:val="00972DBC"/>
    <w:rsid w:val="00973029"/>
    <w:rsid w:val="009734DA"/>
    <w:rsid w:val="009735A4"/>
    <w:rsid w:val="009735AF"/>
    <w:rsid w:val="00973A2F"/>
    <w:rsid w:val="00973C36"/>
    <w:rsid w:val="00973C43"/>
    <w:rsid w:val="00973D18"/>
    <w:rsid w:val="00973E7F"/>
    <w:rsid w:val="00974626"/>
    <w:rsid w:val="00974A21"/>
    <w:rsid w:val="00974B8B"/>
    <w:rsid w:val="00974D15"/>
    <w:rsid w:val="00974F79"/>
    <w:rsid w:val="009752DD"/>
    <w:rsid w:val="00976100"/>
    <w:rsid w:val="009765E6"/>
    <w:rsid w:val="009767D1"/>
    <w:rsid w:val="00976DCC"/>
    <w:rsid w:val="0097701A"/>
    <w:rsid w:val="0097753A"/>
    <w:rsid w:val="0097758E"/>
    <w:rsid w:val="00977987"/>
    <w:rsid w:val="00977BE7"/>
    <w:rsid w:val="00977E3C"/>
    <w:rsid w:val="00980467"/>
    <w:rsid w:val="0098068B"/>
    <w:rsid w:val="009807E9"/>
    <w:rsid w:val="00981980"/>
    <w:rsid w:val="00981A5A"/>
    <w:rsid w:val="00981ABE"/>
    <w:rsid w:val="00981C1C"/>
    <w:rsid w:val="00981FCE"/>
    <w:rsid w:val="009821C9"/>
    <w:rsid w:val="00982217"/>
    <w:rsid w:val="00982625"/>
    <w:rsid w:val="00982755"/>
    <w:rsid w:val="009832D5"/>
    <w:rsid w:val="009833BD"/>
    <w:rsid w:val="009833D8"/>
    <w:rsid w:val="009837B2"/>
    <w:rsid w:val="00984150"/>
    <w:rsid w:val="00984757"/>
    <w:rsid w:val="0098483B"/>
    <w:rsid w:val="009849C2"/>
    <w:rsid w:val="00984A5F"/>
    <w:rsid w:val="00984ECC"/>
    <w:rsid w:val="00984ED7"/>
    <w:rsid w:val="00985327"/>
    <w:rsid w:val="009853DD"/>
    <w:rsid w:val="00985412"/>
    <w:rsid w:val="00985750"/>
    <w:rsid w:val="00985B25"/>
    <w:rsid w:val="00985BA1"/>
    <w:rsid w:val="00985D4E"/>
    <w:rsid w:val="00985D7C"/>
    <w:rsid w:val="00985E9F"/>
    <w:rsid w:val="00987336"/>
    <w:rsid w:val="0099099C"/>
    <w:rsid w:val="00990D47"/>
    <w:rsid w:val="00991064"/>
    <w:rsid w:val="0099162B"/>
    <w:rsid w:val="00991698"/>
    <w:rsid w:val="00991919"/>
    <w:rsid w:val="00991A4B"/>
    <w:rsid w:val="00991E2D"/>
    <w:rsid w:val="00992333"/>
    <w:rsid w:val="009928A8"/>
    <w:rsid w:val="0099379E"/>
    <w:rsid w:val="009938AF"/>
    <w:rsid w:val="00993CEE"/>
    <w:rsid w:val="00993EB5"/>
    <w:rsid w:val="009948EC"/>
    <w:rsid w:val="00994D5B"/>
    <w:rsid w:val="00994DA0"/>
    <w:rsid w:val="00994EE7"/>
    <w:rsid w:val="0099583D"/>
    <w:rsid w:val="00996091"/>
    <w:rsid w:val="009964BB"/>
    <w:rsid w:val="00996772"/>
    <w:rsid w:val="00996796"/>
    <w:rsid w:val="00996BD9"/>
    <w:rsid w:val="0099702B"/>
    <w:rsid w:val="00997543"/>
    <w:rsid w:val="009975B6"/>
    <w:rsid w:val="009A0230"/>
    <w:rsid w:val="009A0875"/>
    <w:rsid w:val="009A12C3"/>
    <w:rsid w:val="009A135F"/>
    <w:rsid w:val="009A1471"/>
    <w:rsid w:val="009A16D2"/>
    <w:rsid w:val="009A1C51"/>
    <w:rsid w:val="009A1C94"/>
    <w:rsid w:val="009A2AA7"/>
    <w:rsid w:val="009A2F32"/>
    <w:rsid w:val="009A3432"/>
    <w:rsid w:val="009A3A58"/>
    <w:rsid w:val="009A43F3"/>
    <w:rsid w:val="009A44F4"/>
    <w:rsid w:val="009A46BF"/>
    <w:rsid w:val="009A485C"/>
    <w:rsid w:val="009A4FAE"/>
    <w:rsid w:val="009A56EF"/>
    <w:rsid w:val="009A5E72"/>
    <w:rsid w:val="009A64A5"/>
    <w:rsid w:val="009A707D"/>
    <w:rsid w:val="009A7505"/>
    <w:rsid w:val="009A7982"/>
    <w:rsid w:val="009A798A"/>
    <w:rsid w:val="009B072A"/>
    <w:rsid w:val="009B09C5"/>
    <w:rsid w:val="009B0A7F"/>
    <w:rsid w:val="009B0FEE"/>
    <w:rsid w:val="009B1389"/>
    <w:rsid w:val="009B1989"/>
    <w:rsid w:val="009B1A66"/>
    <w:rsid w:val="009B1ABE"/>
    <w:rsid w:val="009B207F"/>
    <w:rsid w:val="009B2C54"/>
    <w:rsid w:val="009B3C16"/>
    <w:rsid w:val="009B3C6E"/>
    <w:rsid w:val="009B4114"/>
    <w:rsid w:val="009B4266"/>
    <w:rsid w:val="009B448E"/>
    <w:rsid w:val="009B479E"/>
    <w:rsid w:val="009B4CA5"/>
    <w:rsid w:val="009B4D61"/>
    <w:rsid w:val="009B4E42"/>
    <w:rsid w:val="009B5789"/>
    <w:rsid w:val="009B5F2B"/>
    <w:rsid w:val="009B61AF"/>
    <w:rsid w:val="009B6849"/>
    <w:rsid w:val="009B6FDD"/>
    <w:rsid w:val="009B770F"/>
    <w:rsid w:val="009B7E27"/>
    <w:rsid w:val="009B7E4A"/>
    <w:rsid w:val="009C02E6"/>
    <w:rsid w:val="009C03E8"/>
    <w:rsid w:val="009C0669"/>
    <w:rsid w:val="009C0A1C"/>
    <w:rsid w:val="009C0BBC"/>
    <w:rsid w:val="009C0D7C"/>
    <w:rsid w:val="009C15AC"/>
    <w:rsid w:val="009C1632"/>
    <w:rsid w:val="009C1F54"/>
    <w:rsid w:val="009C21BA"/>
    <w:rsid w:val="009C21BF"/>
    <w:rsid w:val="009C234A"/>
    <w:rsid w:val="009C2556"/>
    <w:rsid w:val="009C2911"/>
    <w:rsid w:val="009C2B41"/>
    <w:rsid w:val="009C2E5D"/>
    <w:rsid w:val="009C34AF"/>
    <w:rsid w:val="009C36EC"/>
    <w:rsid w:val="009C39CA"/>
    <w:rsid w:val="009C39D7"/>
    <w:rsid w:val="009C3CE0"/>
    <w:rsid w:val="009C4D21"/>
    <w:rsid w:val="009C51A4"/>
    <w:rsid w:val="009C551F"/>
    <w:rsid w:val="009C5C71"/>
    <w:rsid w:val="009C602B"/>
    <w:rsid w:val="009C62CC"/>
    <w:rsid w:val="009C649E"/>
    <w:rsid w:val="009C64F6"/>
    <w:rsid w:val="009C66EC"/>
    <w:rsid w:val="009C6E5F"/>
    <w:rsid w:val="009C745B"/>
    <w:rsid w:val="009C793F"/>
    <w:rsid w:val="009C7A7F"/>
    <w:rsid w:val="009C7BF0"/>
    <w:rsid w:val="009D034E"/>
    <w:rsid w:val="009D0485"/>
    <w:rsid w:val="009D0C34"/>
    <w:rsid w:val="009D139A"/>
    <w:rsid w:val="009D164B"/>
    <w:rsid w:val="009D16ED"/>
    <w:rsid w:val="009D171F"/>
    <w:rsid w:val="009D176B"/>
    <w:rsid w:val="009D1B23"/>
    <w:rsid w:val="009D2968"/>
    <w:rsid w:val="009D2CD7"/>
    <w:rsid w:val="009D3B03"/>
    <w:rsid w:val="009D416D"/>
    <w:rsid w:val="009D439A"/>
    <w:rsid w:val="009D4ABE"/>
    <w:rsid w:val="009D5495"/>
    <w:rsid w:val="009D570D"/>
    <w:rsid w:val="009D58C3"/>
    <w:rsid w:val="009D5B5C"/>
    <w:rsid w:val="009D5E49"/>
    <w:rsid w:val="009D67BA"/>
    <w:rsid w:val="009D6E49"/>
    <w:rsid w:val="009D718D"/>
    <w:rsid w:val="009D7455"/>
    <w:rsid w:val="009D769A"/>
    <w:rsid w:val="009D7A95"/>
    <w:rsid w:val="009D7C2E"/>
    <w:rsid w:val="009D7F16"/>
    <w:rsid w:val="009E02F5"/>
    <w:rsid w:val="009E062B"/>
    <w:rsid w:val="009E064C"/>
    <w:rsid w:val="009E0A95"/>
    <w:rsid w:val="009E0C27"/>
    <w:rsid w:val="009E0C41"/>
    <w:rsid w:val="009E0D8B"/>
    <w:rsid w:val="009E11E8"/>
    <w:rsid w:val="009E13AC"/>
    <w:rsid w:val="009E13FE"/>
    <w:rsid w:val="009E2304"/>
    <w:rsid w:val="009E24F8"/>
    <w:rsid w:val="009E276E"/>
    <w:rsid w:val="009E2F8A"/>
    <w:rsid w:val="009E33F3"/>
    <w:rsid w:val="009E3958"/>
    <w:rsid w:val="009E3BE9"/>
    <w:rsid w:val="009E3D4E"/>
    <w:rsid w:val="009E3DA5"/>
    <w:rsid w:val="009E40AF"/>
    <w:rsid w:val="009E4292"/>
    <w:rsid w:val="009E4C9A"/>
    <w:rsid w:val="009E5177"/>
    <w:rsid w:val="009E5719"/>
    <w:rsid w:val="009E578C"/>
    <w:rsid w:val="009E6ABD"/>
    <w:rsid w:val="009E70E3"/>
    <w:rsid w:val="009E74F4"/>
    <w:rsid w:val="009E79C9"/>
    <w:rsid w:val="009E7BA0"/>
    <w:rsid w:val="009F000B"/>
    <w:rsid w:val="009F0A13"/>
    <w:rsid w:val="009F1806"/>
    <w:rsid w:val="009F21FF"/>
    <w:rsid w:val="009F28C3"/>
    <w:rsid w:val="009F28DC"/>
    <w:rsid w:val="009F3185"/>
    <w:rsid w:val="009F35D7"/>
    <w:rsid w:val="009F37E1"/>
    <w:rsid w:val="009F3914"/>
    <w:rsid w:val="009F3A26"/>
    <w:rsid w:val="009F3BDF"/>
    <w:rsid w:val="009F3CC8"/>
    <w:rsid w:val="009F42CC"/>
    <w:rsid w:val="009F4435"/>
    <w:rsid w:val="009F443F"/>
    <w:rsid w:val="009F4812"/>
    <w:rsid w:val="009F4863"/>
    <w:rsid w:val="009F490D"/>
    <w:rsid w:val="009F4B9F"/>
    <w:rsid w:val="009F516C"/>
    <w:rsid w:val="009F544F"/>
    <w:rsid w:val="009F55B9"/>
    <w:rsid w:val="009F58CC"/>
    <w:rsid w:val="009F58CE"/>
    <w:rsid w:val="009F5B80"/>
    <w:rsid w:val="009F65E2"/>
    <w:rsid w:val="009F6CEB"/>
    <w:rsid w:val="009F7009"/>
    <w:rsid w:val="009F70A9"/>
    <w:rsid w:val="009F7B59"/>
    <w:rsid w:val="00A0009F"/>
    <w:rsid w:val="00A009DA"/>
    <w:rsid w:val="00A00DC9"/>
    <w:rsid w:val="00A00E9C"/>
    <w:rsid w:val="00A01053"/>
    <w:rsid w:val="00A015DC"/>
    <w:rsid w:val="00A020E2"/>
    <w:rsid w:val="00A0380C"/>
    <w:rsid w:val="00A03A87"/>
    <w:rsid w:val="00A044F3"/>
    <w:rsid w:val="00A04C02"/>
    <w:rsid w:val="00A04FAA"/>
    <w:rsid w:val="00A05227"/>
    <w:rsid w:val="00A058E2"/>
    <w:rsid w:val="00A05973"/>
    <w:rsid w:val="00A05A0B"/>
    <w:rsid w:val="00A05AC4"/>
    <w:rsid w:val="00A062CA"/>
    <w:rsid w:val="00A06980"/>
    <w:rsid w:val="00A06FFF"/>
    <w:rsid w:val="00A07E26"/>
    <w:rsid w:val="00A10873"/>
    <w:rsid w:val="00A10933"/>
    <w:rsid w:val="00A10A68"/>
    <w:rsid w:val="00A1137A"/>
    <w:rsid w:val="00A11585"/>
    <w:rsid w:val="00A11782"/>
    <w:rsid w:val="00A11B16"/>
    <w:rsid w:val="00A12F39"/>
    <w:rsid w:val="00A1338E"/>
    <w:rsid w:val="00A13F80"/>
    <w:rsid w:val="00A143C7"/>
    <w:rsid w:val="00A146F8"/>
    <w:rsid w:val="00A14CA7"/>
    <w:rsid w:val="00A14DFE"/>
    <w:rsid w:val="00A14FF8"/>
    <w:rsid w:val="00A154AE"/>
    <w:rsid w:val="00A155EF"/>
    <w:rsid w:val="00A15AEB"/>
    <w:rsid w:val="00A15D9F"/>
    <w:rsid w:val="00A16020"/>
    <w:rsid w:val="00A16164"/>
    <w:rsid w:val="00A162E9"/>
    <w:rsid w:val="00A16743"/>
    <w:rsid w:val="00A16C16"/>
    <w:rsid w:val="00A1710C"/>
    <w:rsid w:val="00A173A5"/>
    <w:rsid w:val="00A17A67"/>
    <w:rsid w:val="00A20023"/>
    <w:rsid w:val="00A20124"/>
    <w:rsid w:val="00A20578"/>
    <w:rsid w:val="00A21042"/>
    <w:rsid w:val="00A21526"/>
    <w:rsid w:val="00A217D7"/>
    <w:rsid w:val="00A21A89"/>
    <w:rsid w:val="00A21CA6"/>
    <w:rsid w:val="00A22443"/>
    <w:rsid w:val="00A22755"/>
    <w:rsid w:val="00A22C8F"/>
    <w:rsid w:val="00A23748"/>
    <w:rsid w:val="00A23D88"/>
    <w:rsid w:val="00A23EE2"/>
    <w:rsid w:val="00A24023"/>
    <w:rsid w:val="00A2423A"/>
    <w:rsid w:val="00A246C5"/>
    <w:rsid w:val="00A2490D"/>
    <w:rsid w:val="00A24D25"/>
    <w:rsid w:val="00A24EC4"/>
    <w:rsid w:val="00A24F2D"/>
    <w:rsid w:val="00A24F40"/>
    <w:rsid w:val="00A25186"/>
    <w:rsid w:val="00A25296"/>
    <w:rsid w:val="00A256C8"/>
    <w:rsid w:val="00A258F4"/>
    <w:rsid w:val="00A25AA4"/>
    <w:rsid w:val="00A25B96"/>
    <w:rsid w:val="00A26212"/>
    <w:rsid w:val="00A26661"/>
    <w:rsid w:val="00A266F7"/>
    <w:rsid w:val="00A26982"/>
    <w:rsid w:val="00A26EF6"/>
    <w:rsid w:val="00A27335"/>
    <w:rsid w:val="00A27F00"/>
    <w:rsid w:val="00A30009"/>
    <w:rsid w:val="00A30013"/>
    <w:rsid w:val="00A32676"/>
    <w:rsid w:val="00A32B7B"/>
    <w:rsid w:val="00A32CA7"/>
    <w:rsid w:val="00A32D99"/>
    <w:rsid w:val="00A32F6B"/>
    <w:rsid w:val="00A33833"/>
    <w:rsid w:val="00A33D92"/>
    <w:rsid w:val="00A346C2"/>
    <w:rsid w:val="00A34F85"/>
    <w:rsid w:val="00A3563A"/>
    <w:rsid w:val="00A366A0"/>
    <w:rsid w:val="00A36745"/>
    <w:rsid w:val="00A3697B"/>
    <w:rsid w:val="00A36BCE"/>
    <w:rsid w:val="00A36C30"/>
    <w:rsid w:val="00A37419"/>
    <w:rsid w:val="00A37985"/>
    <w:rsid w:val="00A37DC2"/>
    <w:rsid w:val="00A401FB"/>
    <w:rsid w:val="00A40405"/>
    <w:rsid w:val="00A40DB2"/>
    <w:rsid w:val="00A41014"/>
    <w:rsid w:val="00A41071"/>
    <w:rsid w:val="00A42490"/>
    <w:rsid w:val="00A42F0A"/>
    <w:rsid w:val="00A42FD2"/>
    <w:rsid w:val="00A43CC4"/>
    <w:rsid w:val="00A43D44"/>
    <w:rsid w:val="00A4406D"/>
    <w:rsid w:val="00A447E1"/>
    <w:rsid w:val="00A44908"/>
    <w:rsid w:val="00A44C9C"/>
    <w:rsid w:val="00A44F6E"/>
    <w:rsid w:val="00A45DB5"/>
    <w:rsid w:val="00A468C0"/>
    <w:rsid w:val="00A46F0B"/>
    <w:rsid w:val="00A46FAA"/>
    <w:rsid w:val="00A477E7"/>
    <w:rsid w:val="00A479DB"/>
    <w:rsid w:val="00A50B80"/>
    <w:rsid w:val="00A50BF6"/>
    <w:rsid w:val="00A50E61"/>
    <w:rsid w:val="00A51947"/>
    <w:rsid w:val="00A519FB"/>
    <w:rsid w:val="00A52540"/>
    <w:rsid w:val="00A525B6"/>
    <w:rsid w:val="00A52F77"/>
    <w:rsid w:val="00A533AF"/>
    <w:rsid w:val="00A53418"/>
    <w:rsid w:val="00A53988"/>
    <w:rsid w:val="00A54245"/>
    <w:rsid w:val="00A543C3"/>
    <w:rsid w:val="00A54494"/>
    <w:rsid w:val="00A54701"/>
    <w:rsid w:val="00A5481C"/>
    <w:rsid w:val="00A54E1F"/>
    <w:rsid w:val="00A552FE"/>
    <w:rsid w:val="00A5604A"/>
    <w:rsid w:val="00A56114"/>
    <w:rsid w:val="00A56BEE"/>
    <w:rsid w:val="00A574DD"/>
    <w:rsid w:val="00A57650"/>
    <w:rsid w:val="00A607B9"/>
    <w:rsid w:val="00A60806"/>
    <w:rsid w:val="00A6081A"/>
    <w:rsid w:val="00A61360"/>
    <w:rsid w:val="00A617A1"/>
    <w:rsid w:val="00A61FE2"/>
    <w:rsid w:val="00A6370E"/>
    <w:rsid w:val="00A63933"/>
    <w:rsid w:val="00A6401D"/>
    <w:rsid w:val="00A6402B"/>
    <w:rsid w:val="00A6412B"/>
    <w:rsid w:val="00A64A36"/>
    <w:rsid w:val="00A65009"/>
    <w:rsid w:val="00A654D2"/>
    <w:rsid w:val="00A6565E"/>
    <w:rsid w:val="00A663C5"/>
    <w:rsid w:val="00A66D54"/>
    <w:rsid w:val="00A67385"/>
    <w:rsid w:val="00A67B63"/>
    <w:rsid w:val="00A67D41"/>
    <w:rsid w:val="00A67E6E"/>
    <w:rsid w:val="00A707D0"/>
    <w:rsid w:val="00A711BC"/>
    <w:rsid w:val="00A718B4"/>
    <w:rsid w:val="00A718E3"/>
    <w:rsid w:val="00A71BF6"/>
    <w:rsid w:val="00A72519"/>
    <w:rsid w:val="00A72706"/>
    <w:rsid w:val="00A728E4"/>
    <w:rsid w:val="00A72A6A"/>
    <w:rsid w:val="00A72A8F"/>
    <w:rsid w:val="00A72C92"/>
    <w:rsid w:val="00A73281"/>
    <w:rsid w:val="00A733F0"/>
    <w:rsid w:val="00A73671"/>
    <w:rsid w:val="00A73A3F"/>
    <w:rsid w:val="00A73B21"/>
    <w:rsid w:val="00A74565"/>
    <w:rsid w:val="00A74DA4"/>
    <w:rsid w:val="00A75206"/>
    <w:rsid w:val="00A75602"/>
    <w:rsid w:val="00A759F1"/>
    <w:rsid w:val="00A75A8C"/>
    <w:rsid w:val="00A75DE3"/>
    <w:rsid w:val="00A75EEE"/>
    <w:rsid w:val="00A76726"/>
    <w:rsid w:val="00A773D9"/>
    <w:rsid w:val="00A775F0"/>
    <w:rsid w:val="00A77890"/>
    <w:rsid w:val="00A80087"/>
    <w:rsid w:val="00A8044E"/>
    <w:rsid w:val="00A80914"/>
    <w:rsid w:val="00A80CA8"/>
    <w:rsid w:val="00A8117E"/>
    <w:rsid w:val="00A81674"/>
    <w:rsid w:val="00A81A50"/>
    <w:rsid w:val="00A81B28"/>
    <w:rsid w:val="00A81E8E"/>
    <w:rsid w:val="00A81F29"/>
    <w:rsid w:val="00A820CA"/>
    <w:rsid w:val="00A82491"/>
    <w:rsid w:val="00A8254E"/>
    <w:rsid w:val="00A82646"/>
    <w:rsid w:val="00A82B9E"/>
    <w:rsid w:val="00A82C9D"/>
    <w:rsid w:val="00A8309B"/>
    <w:rsid w:val="00A831CB"/>
    <w:rsid w:val="00A83E92"/>
    <w:rsid w:val="00A842DF"/>
    <w:rsid w:val="00A84A27"/>
    <w:rsid w:val="00A84E2D"/>
    <w:rsid w:val="00A84F34"/>
    <w:rsid w:val="00A852CE"/>
    <w:rsid w:val="00A85340"/>
    <w:rsid w:val="00A8599D"/>
    <w:rsid w:val="00A85A51"/>
    <w:rsid w:val="00A86244"/>
    <w:rsid w:val="00A86397"/>
    <w:rsid w:val="00A86458"/>
    <w:rsid w:val="00A8686F"/>
    <w:rsid w:val="00A86A9D"/>
    <w:rsid w:val="00A86B20"/>
    <w:rsid w:val="00A86C5B"/>
    <w:rsid w:val="00A870D0"/>
    <w:rsid w:val="00A874D9"/>
    <w:rsid w:val="00A879A6"/>
    <w:rsid w:val="00A87D57"/>
    <w:rsid w:val="00A87FAA"/>
    <w:rsid w:val="00A90422"/>
    <w:rsid w:val="00A9065D"/>
    <w:rsid w:val="00A90E47"/>
    <w:rsid w:val="00A90E58"/>
    <w:rsid w:val="00A90EB0"/>
    <w:rsid w:val="00A90ED3"/>
    <w:rsid w:val="00A910AE"/>
    <w:rsid w:val="00A91320"/>
    <w:rsid w:val="00A91631"/>
    <w:rsid w:val="00A921BB"/>
    <w:rsid w:val="00A92211"/>
    <w:rsid w:val="00A93B68"/>
    <w:rsid w:val="00A93CCA"/>
    <w:rsid w:val="00A9440E"/>
    <w:rsid w:val="00A945E5"/>
    <w:rsid w:val="00A94FFF"/>
    <w:rsid w:val="00A9587A"/>
    <w:rsid w:val="00A959D5"/>
    <w:rsid w:val="00A96689"/>
    <w:rsid w:val="00A9673E"/>
    <w:rsid w:val="00A96E39"/>
    <w:rsid w:val="00A96E6A"/>
    <w:rsid w:val="00A97A0B"/>
    <w:rsid w:val="00A97CFC"/>
    <w:rsid w:val="00AA0157"/>
    <w:rsid w:val="00AA0229"/>
    <w:rsid w:val="00AA03C7"/>
    <w:rsid w:val="00AA086B"/>
    <w:rsid w:val="00AA0C2E"/>
    <w:rsid w:val="00AA0E49"/>
    <w:rsid w:val="00AA100E"/>
    <w:rsid w:val="00AA11CC"/>
    <w:rsid w:val="00AA1C1F"/>
    <w:rsid w:val="00AA1FB8"/>
    <w:rsid w:val="00AA202D"/>
    <w:rsid w:val="00AA32B8"/>
    <w:rsid w:val="00AA3B45"/>
    <w:rsid w:val="00AA3C6F"/>
    <w:rsid w:val="00AA3CAC"/>
    <w:rsid w:val="00AA3D14"/>
    <w:rsid w:val="00AA451C"/>
    <w:rsid w:val="00AA50E7"/>
    <w:rsid w:val="00AA56EE"/>
    <w:rsid w:val="00AA58D4"/>
    <w:rsid w:val="00AA5C09"/>
    <w:rsid w:val="00AA60CE"/>
    <w:rsid w:val="00AA7012"/>
    <w:rsid w:val="00AA7320"/>
    <w:rsid w:val="00AA7798"/>
    <w:rsid w:val="00AB01D3"/>
    <w:rsid w:val="00AB1204"/>
    <w:rsid w:val="00AB13A0"/>
    <w:rsid w:val="00AB1865"/>
    <w:rsid w:val="00AB1A66"/>
    <w:rsid w:val="00AB1EBE"/>
    <w:rsid w:val="00AB1ED5"/>
    <w:rsid w:val="00AB1FEF"/>
    <w:rsid w:val="00AB20DE"/>
    <w:rsid w:val="00AB2461"/>
    <w:rsid w:val="00AB2C74"/>
    <w:rsid w:val="00AB3454"/>
    <w:rsid w:val="00AB346D"/>
    <w:rsid w:val="00AB392D"/>
    <w:rsid w:val="00AB3D2E"/>
    <w:rsid w:val="00AB44BD"/>
    <w:rsid w:val="00AB4B81"/>
    <w:rsid w:val="00AB507B"/>
    <w:rsid w:val="00AB52B2"/>
    <w:rsid w:val="00AB592F"/>
    <w:rsid w:val="00AB5B58"/>
    <w:rsid w:val="00AB5BA7"/>
    <w:rsid w:val="00AB5E67"/>
    <w:rsid w:val="00AB5FE9"/>
    <w:rsid w:val="00AB615F"/>
    <w:rsid w:val="00AB633D"/>
    <w:rsid w:val="00AB6409"/>
    <w:rsid w:val="00AB643E"/>
    <w:rsid w:val="00AB69AA"/>
    <w:rsid w:val="00AB738D"/>
    <w:rsid w:val="00AB759A"/>
    <w:rsid w:val="00AB7BA2"/>
    <w:rsid w:val="00AB7BC7"/>
    <w:rsid w:val="00AB7E78"/>
    <w:rsid w:val="00AC0121"/>
    <w:rsid w:val="00AC01BC"/>
    <w:rsid w:val="00AC1506"/>
    <w:rsid w:val="00AC1600"/>
    <w:rsid w:val="00AC1E86"/>
    <w:rsid w:val="00AC2094"/>
    <w:rsid w:val="00AC21E4"/>
    <w:rsid w:val="00AC251C"/>
    <w:rsid w:val="00AC2639"/>
    <w:rsid w:val="00AC264F"/>
    <w:rsid w:val="00AC2B24"/>
    <w:rsid w:val="00AC2EA5"/>
    <w:rsid w:val="00AC3849"/>
    <w:rsid w:val="00AC39A5"/>
    <w:rsid w:val="00AC3C92"/>
    <w:rsid w:val="00AC3D3F"/>
    <w:rsid w:val="00AC45C7"/>
    <w:rsid w:val="00AC4841"/>
    <w:rsid w:val="00AC4AF5"/>
    <w:rsid w:val="00AC4B9A"/>
    <w:rsid w:val="00AC4FCD"/>
    <w:rsid w:val="00AC5874"/>
    <w:rsid w:val="00AC644D"/>
    <w:rsid w:val="00AC6899"/>
    <w:rsid w:val="00AC6B37"/>
    <w:rsid w:val="00AC6DE0"/>
    <w:rsid w:val="00AC6E57"/>
    <w:rsid w:val="00AC72E8"/>
    <w:rsid w:val="00AC770F"/>
    <w:rsid w:val="00AC7FAB"/>
    <w:rsid w:val="00AD0082"/>
    <w:rsid w:val="00AD067F"/>
    <w:rsid w:val="00AD0744"/>
    <w:rsid w:val="00AD0810"/>
    <w:rsid w:val="00AD0C8D"/>
    <w:rsid w:val="00AD0F27"/>
    <w:rsid w:val="00AD0F35"/>
    <w:rsid w:val="00AD1C48"/>
    <w:rsid w:val="00AD2383"/>
    <w:rsid w:val="00AD33D4"/>
    <w:rsid w:val="00AD3654"/>
    <w:rsid w:val="00AD37E5"/>
    <w:rsid w:val="00AD3E48"/>
    <w:rsid w:val="00AD458F"/>
    <w:rsid w:val="00AD4719"/>
    <w:rsid w:val="00AD4A33"/>
    <w:rsid w:val="00AD4CB1"/>
    <w:rsid w:val="00AD4D6D"/>
    <w:rsid w:val="00AD543B"/>
    <w:rsid w:val="00AD56C2"/>
    <w:rsid w:val="00AD5782"/>
    <w:rsid w:val="00AD592A"/>
    <w:rsid w:val="00AD5BB4"/>
    <w:rsid w:val="00AD5BDA"/>
    <w:rsid w:val="00AD6572"/>
    <w:rsid w:val="00AD695C"/>
    <w:rsid w:val="00AD6E9A"/>
    <w:rsid w:val="00AD6F7E"/>
    <w:rsid w:val="00AD7B47"/>
    <w:rsid w:val="00AE00A2"/>
    <w:rsid w:val="00AE01B4"/>
    <w:rsid w:val="00AE2A0F"/>
    <w:rsid w:val="00AE2F2F"/>
    <w:rsid w:val="00AE315C"/>
    <w:rsid w:val="00AE317C"/>
    <w:rsid w:val="00AE323F"/>
    <w:rsid w:val="00AE37AD"/>
    <w:rsid w:val="00AE3BB3"/>
    <w:rsid w:val="00AE440E"/>
    <w:rsid w:val="00AE476B"/>
    <w:rsid w:val="00AE49D5"/>
    <w:rsid w:val="00AE4C2A"/>
    <w:rsid w:val="00AE57B2"/>
    <w:rsid w:val="00AE611B"/>
    <w:rsid w:val="00AE62F4"/>
    <w:rsid w:val="00AE6502"/>
    <w:rsid w:val="00AE6569"/>
    <w:rsid w:val="00AE65C5"/>
    <w:rsid w:val="00AE6F9D"/>
    <w:rsid w:val="00AE6FB2"/>
    <w:rsid w:val="00AE77BD"/>
    <w:rsid w:val="00AF0AF4"/>
    <w:rsid w:val="00AF0F86"/>
    <w:rsid w:val="00AF1052"/>
    <w:rsid w:val="00AF19F3"/>
    <w:rsid w:val="00AF1B1C"/>
    <w:rsid w:val="00AF1F85"/>
    <w:rsid w:val="00AF231A"/>
    <w:rsid w:val="00AF2546"/>
    <w:rsid w:val="00AF2B4E"/>
    <w:rsid w:val="00AF35F4"/>
    <w:rsid w:val="00AF3DBB"/>
    <w:rsid w:val="00AF4099"/>
    <w:rsid w:val="00AF4618"/>
    <w:rsid w:val="00AF4AE7"/>
    <w:rsid w:val="00AF4F3E"/>
    <w:rsid w:val="00AF52B1"/>
    <w:rsid w:val="00AF6229"/>
    <w:rsid w:val="00AF6318"/>
    <w:rsid w:val="00AF65D0"/>
    <w:rsid w:val="00AF6693"/>
    <w:rsid w:val="00AF685C"/>
    <w:rsid w:val="00AF70E9"/>
    <w:rsid w:val="00AF72E5"/>
    <w:rsid w:val="00AF73A2"/>
    <w:rsid w:val="00AF75E5"/>
    <w:rsid w:val="00AF7CC4"/>
    <w:rsid w:val="00B0063E"/>
    <w:rsid w:val="00B007DB"/>
    <w:rsid w:val="00B00B62"/>
    <w:rsid w:val="00B00DF5"/>
    <w:rsid w:val="00B00F63"/>
    <w:rsid w:val="00B01C6B"/>
    <w:rsid w:val="00B022AF"/>
    <w:rsid w:val="00B033D0"/>
    <w:rsid w:val="00B03AE5"/>
    <w:rsid w:val="00B03DCD"/>
    <w:rsid w:val="00B03E0B"/>
    <w:rsid w:val="00B045A9"/>
    <w:rsid w:val="00B045D6"/>
    <w:rsid w:val="00B04E3B"/>
    <w:rsid w:val="00B054C6"/>
    <w:rsid w:val="00B0551C"/>
    <w:rsid w:val="00B05EEE"/>
    <w:rsid w:val="00B05F30"/>
    <w:rsid w:val="00B06394"/>
    <w:rsid w:val="00B06A1B"/>
    <w:rsid w:val="00B0755C"/>
    <w:rsid w:val="00B076C5"/>
    <w:rsid w:val="00B07EAE"/>
    <w:rsid w:val="00B1064F"/>
    <w:rsid w:val="00B1077D"/>
    <w:rsid w:val="00B10811"/>
    <w:rsid w:val="00B10B7E"/>
    <w:rsid w:val="00B11423"/>
    <w:rsid w:val="00B11841"/>
    <w:rsid w:val="00B11BD0"/>
    <w:rsid w:val="00B11D91"/>
    <w:rsid w:val="00B120F9"/>
    <w:rsid w:val="00B12D75"/>
    <w:rsid w:val="00B13E18"/>
    <w:rsid w:val="00B13E3A"/>
    <w:rsid w:val="00B14537"/>
    <w:rsid w:val="00B1471D"/>
    <w:rsid w:val="00B1487F"/>
    <w:rsid w:val="00B15319"/>
    <w:rsid w:val="00B15F79"/>
    <w:rsid w:val="00B1620D"/>
    <w:rsid w:val="00B17327"/>
    <w:rsid w:val="00B201D3"/>
    <w:rsid w:val="00B203E6"/>
    <w:rsid w:val="00B2049A"/>
    <w:rsid w:val="00B204A5"/>
    <w:rsid w:val="00B20722"/>
    <w:rsid w:val="00B2083B"/>
    <w:rsid w:val="00B20F9F"/>
    <w:rsid w:val="00B21A3A"/>
    <w:rsid w:val="00B21B4C"/>
    <w:rsid w:val="00B21CD4"/>
    <w:rsid w:val="00B21F41"/>
    <w:rsid w:val="00B2217D"/>
    <w:rsid w:val="00B2225A"/>
    <w:rsid w:val="00B225AB"/>
    <w:rsid w:val="00B23003"/>
    <w:rsid w:val="00B23535"/>
    <w:rsid w:val="00B2381E"/>
    <w:rsid w:val="00B2395D"/>
    <w:rsid w:val="00B23FF2"/>
    <w:rsid w:val="00B24748"/>
    <w:rsid w:val="00B252E6"/>
    <w:rsid w:val="00B25CC2"/>
    <w:rsid w:val="00B25D5E"/>
    <w:rsid w:val="00B26057"/>
    <w:rsid w:val="00B26076"/>
    <w:rsid w:val="00B2616C"/>
    <w:rsid w:val="00B26189"/>
    <w:rsid w:val="00B2618E"/>
    <w:rsid w:val="00B261A0"/>
    <w:rsid w:val="00B26275"/>
    <w:rsid w:val="00B26763"/>
    <w:rsid w:val="00B2756A"/>
    <w:rsid w:val="00B275C8"/>
    <w:rsid w:val="00B27640"/>
    <w:rsid w:val="00B27BC7"/>
    <w:rsid w:val="00B30207"/>
    <w:rsid w:val="00B304F3"/>
    <w:rsid w:val="00B307FC"/>
    <w:rsid w:val="00B3093D"/>
    <w:rsid w:val="00B30A97"/>
    <w:rsid w:val="00B30B61"/>
    <w:rsid w:val="00B30BE1"/>
    <w:rsid w:val="00B30DE5"/>
    <w:rsid w:val="00B30FA2"/>
    <w:rsid w:val="00B311F7"/>
    <w:rsid w:val="00B31327"/>
    <w:rsid w:val="00B31A53"/>
    <w:rsid w:val="00B32064"/>
    <w:rsid w:val="00B32148"/>
    <w:rsid w:val="00B32292"/>
    <w:rsid w:val="00B329E6"/>
    <w:rsid w:val="00B331CD"/>
    <w:rsid w:val="00B335A3"/>
    <w:rsid w:val="00B33873"/>
    <w:rsid w:val="00B33B21"/>
    <w:rsid w:val="00B34982"/>
    <w:rsid w:val="00B34AC2"/>
    <w:rsid w:val="00B354A7"/>
    <w:rsid w:val="00B354FB"/>
    <w:rsid w:val="00B359C7"/>
    <w:rsid w:val="00B3605C"/>
    <w:rsid w:val="00B36611"/>
    <w:rsid w:val="00B3710D"/>
    <w:rsid w:val="00B37BF1"/>
    <w:rsid w:val="00B37FD3"/>
    <w:rsid w:val="00B4032C"/>
    <w:rsid w:val="00B40FD8"/>
    <w:rsid w:val="00B4230B"/>
    <w:rsid w:val="00B42371"/>
    <w:rsid w:val="00B4274D"/>
    <w:rsid w:val="00B435E7"/>
    <w:rsid w:val="00B437F9"/>
    <w:rsid w:val="00B4394B"/>
    <w:rsid w:val="00B43CB7"/>
    <w:rsid w:val="00B444E7"/>
    <w:rsid w:val="00B445A4"/>
    <w:rsid w:val="00B4474E"/>
    <w:rsid w:val="00B44835"/>
    <w:rsid w:val="00B4537E"/>
    <w:rsid w:val="00B456E1"/>
    <w:rsid w:val="00B4586F"/>
    <w:rsid w:val="00B459F6"/>
    <w:rsid w:val="00B45A0C"/>
    <w:rsid w:val="00B45DB9"/>
    <w:rsid w:val="00B4629B"/>
    <w:rsid w:val="00B46A75"/>
    <w:rsid w:val="00B46FFB"/>
    <w:rsid w:val="00B47047"/>
    <w:rsid w:val="00B47360"/>
    <w:rsid w:val="00B4749A"/>
    <w:rsid w:val="00B474DB"/>
    <w:rsid w:val="00B475B6"/>
    <w:rsid w:val="00B47610"/>
    <w:rsid w:val="00B47FC4"/>
    <w:rsid w:val="00B501FD"/>
    <w:rsid w:val="00B5047C"/>
    <w:rsid w:val="00B50681"/>
    <w:rsid w:val="00B50AF5"/>
    <w:rsid w:val="00B50D09"/>
    <w:rsid w:val="00B50E45"/>
    <w:rsid w:val="00B50FE6"/>
    <w:rsid w:val="00B51371"/>
    <w:rsid w:val="00B5147F"/>
    <w:rsid w:val="00B51DF4"/>
    <w:rsid w:val="00B5220F"/>
    <w:rsid w:val="00B53097"/>
    <w:rsid w:val="00B53789"/>
    <w:rsid w:val="00B539B4"/>
    <w:rsid w:val="00B539CF"/>
    <w:rsid w:val="00B542CF"/>
    <w:rsid w:val="00B54633"/>
    <w:rsid w:val="00B548D0"/>
    <w:rsid w:val="00B5492C"/>
    <w:rsid w:val="00B54BF2"/>
    <w:rsid w:val="00B554CE"/>
    <w:rsid w:val="00B55A0E"/>
    <w:rsid w:val="00B561F0"/>
    <w:rsid w:val="00B569C3"/>
    <w:rsid w:val="00B569E9"/>
    <w:rsid w:val="00B571C1"/>
    <w:rsid w:val="00B572FE"/>
    <w:rsid w:val="00B57421"/>
    <w:rsid w:val="00B5786B"/>
    <w:rsid w:val="00B57C32"/>
    <w:rsid w:val="00B605B9"/>
    <w:rsid w:val="00B60A1D"/>
    <w:rsid w:val="00B60CC7"/>
    <w:rsid w:val="00B60F4A"/>
    <w:rsid w:val="00B61259"/>
    <w:rsid w:val="00B61400"/>
    <w:rsid w:val="00B616D7"/>
    <w:rsid w:val="00B6190D"/>
    <w:rsid w:val="00B61A9E"/>
    <w:rsid w:val="00B61BC9"/>
    <w:rsid w:val="00B62A28"/>
    <w:rsid w:val="00B62B31"/>
    <w:rsid w:val="00B62C29"/>
    <w:rsid w:val="00B62C35"/>
    <w:rsid w:val="00B639B6"/>
    <w:rsid w:val="00B63ED8"/>
    <w:rsid w:val="00B645A9"/>
    <w:rsid w:val="00B64C68"/>
    <w:rsid w:val="00B6508B"/>
    <w:rsid w:val="00B650EF"/>
    <w:rsid w:val="00B6552C"/>
    <w:rsid w:val="00B65661"/>
    <w:rsid w:val="00B6589C"/>
    <w:rsid w:val="00B65AEC"/>
    <w:rsid w:val="00B65D72"/>
    <w:rsid w:val="00B65F5E"/>
    <w:rsid w:val="00B66490"/>
    <w:rsid w:val="00B6675F"/>
    <w:rsid w:val="00B66BA5"/>
    <w:rsid w:val="00B67807"/>
    <w:rsid w:val="00B67B8F"/>
    <w:rsid w:val="00B70774"/>
    <w:rsid w:val="00B70A98"/>
    <w:rsid w:val="00B70AFB"/>
    <w:rsid w:val="00B70B3E"/>
    <w:rsid w:val="00B71D75"/>
    <w:rsid w:val="00B7235D"/>
    <w:rsid w:val="00B72572"/>
    <w:rsid w:val="00B728A0"/>
    <w:rsid w:val="00B72C21"/>
    <w:rsid w:val="00B73063"/>
    <w:rsid w:val="00B7315B"/>
    <w:rsid w:val="00B7343B"/>
    <w:rsid w:val="00B73735"/>
    <w:rsid w:val="00B73FF2"/>
    <w:rsid w:val="00B7404E"/>
    <w:rsid w:val="00B74A48"/>
    <w:rsid w:val="00B7503C"/>
    <w:rsid w:val="00B75448"/>
    <w:rsid w:val="00B754A9"/>
    <w:rsid w:val="00B75DDB"/>
    <w:rsid w:val="00B75E04"/>
    <w:rsid w:val="00B761F0"/>
    <w:rsid w:val="00B76273"/>
    <w:rsid w:val="00B77098"/>
    <w:rsid w:val="00B77939"/>
    <w:rsid w:val="00B77BF9"/>
    <w:rsid w:val="00B77F00"/>
    <w:rsid w:val="00B801A1"/>
    <w:rsid w:val="00B801E8"/>
    <w:rsid w:val="00B80772"/>
    <w:rsid w:val="00B808CA"/>
    <w:rsid w:val="00B80A81"/>
    <w:rsid w:val="00B80B05"/>
    <w:rsid w:val="00B80C6F"/>
    <w:rsid w:val="00B80D0E"/>
    <w:rsid w:val="00B80F06"/>
    <w:rsid w:val="00B81340"/>
    <w:rsid w:val="00B813BB"/>
    <w:rsid w:val="00B818EB"/>
    <w:rsid w:val="00B819EA"/>
    <w:rsid w:val="00B81CCA"/>
    <w:rsid w:val="00B81EC5"/>
    <w:rsid w:val="00B82678"/>
    <w:rsid w:val="00B8289F"/>
    <w:rsid w:val="00B83023"/>
    <w:rsid w:val="00B836A3"/>
    <w:rsid w:val="00B837DC"/>
    <w:rsid w:val="00B843EB"/>
    <w:rsid w:val="00B844C0"/>
    <w:rsid w:val="00B84B3B"/>
    <w:rsid w:val="00B84B90"/>
    <w:rsid w:val="00B85DD9"/>
    <w:rsid w:val="00B86435"/>
    <w:rsid w:val="00B86715"/>
    <w:rsid w:val="00B86A34"/>
    <w:rsid w:val="00B86B82"/>
    <w:rsid w:val="00B878C2"/>
    <w:rsid w:val="00B90098"/>
    <w:rsid w:val="00B90182"/>
    <w:rsid w:val="00B90334"/>
    <w:rsid w:val="00B90F3E"/>
    <w:rsid w:val="00B927A9"/>
    <w:rsid w:val="00B92D5E"/>
    <w:rsid w:val="00B92DBE"/>
    <w:rsid w:val="00B930FA"/>
    <w:rsid w:val="00B935B5"/>
    <w:rsid w:val="00B93890"/>
    <w:rsid w:val="00B93B3C"/>
    <w:rsid w:val="00B9414A"/>
    <w:rsid w:val="00B942CD"/>
    <w:rsid w:val="00B94651"/>
    <w:rsid w:val="00B946D0"/>
    <w:rsid w:val="00B94A7D"/>
    <w:rsid w:val="00B94AEE"/>
    <w:rsid w:val="00B95A4A"/>
    <w:rsid w:val="00B95D11"/>
    <w:rsid w:val="00B96978"/>
    <w:rsid w:val="00B97246"/>
    <w:rsid w:val="00B977DB"/>
    <w:rsid w:val="00B97FF7"/>
    <w:rsid w:val="00BA06FB"/>
    <w:rsid w:val="00BA0836"/>
    <w:rsid w:val="00BA08B3"/>
    <w:rsid w:val="00BA0932"/>
    <w:rsid w:val="00BA095F"/>
    <w:rsid w:val="00BA0E4E"/>
    <w:rsid w:val="00BA0E58"/>
    <w:rsid w:val="00BA0F9B"/>
    <w:rsid w:val="00BA11AD"/>
    <w:rsid w:val="00BA132E"/>
    <w:rsid w:val="00BA17F5"/>
    <w:rsid w:val="00BA1BA6"/>
    <w:rsid w:val="00BA26D9"/>
    <w:rsid w:val="00BA2B8E"/>
    <w:rsid w:val="00BA39CA"/>
    <w:rsid w:val="00BA3A5B"/>
    <w:rsid w:val="00BA3B1A"/>
    <w:rsid w:val="00BA3C08"/>
    <w:rsid w:val="00BA3EF6"/>
    <w:rsid w:val="00BA4D58"/>
    <w:rsid w:val="00BA51FA"/>
    <w:rsid w:val="00BA52A7"/>
    <w:rsid w:val="00BA54F8"/>
    <w:rsid w:val="00BA57FB"/>
    <w:rsid w:val="00BA5CA8"/>
    <w:rsid w:val="00BA6BAC"/>
    <w:rsid w:val="00BA6DC7"/>
    <w:rsid w:val="00BA7217"/>
    <w:rsid w:val="00BA73CD"/>
    <w:rsid w:val="00BA74FA"/>
    <w:rsid w:val="00BA7A2D"/>
    <w:rsid w:val="00BA7E36"/>
    <w:rsid w:val="00BB0B76"/>
    <w:rsid w:val="00BB0EF5"/>
    <w:rsid w:val="00BB0FD6"/>
    <w:rsid w:val="00BB1915"/>
    <w:rsid w:val="00BB19AB"/>
    <w:rsid w:val="00BB2073"/>
    <w:rsid w:val="00BB2909"/>
    <w:rsid w:val="00BB2A16"/>
    <w:rsid w:val="00BB2D18"/>
    <w:rsid w:val="00BB2D75"/>
    <w:rsid w:val="00BB2F58"/>
    <w:rsid w:val="00BB2F7C"/>
    <w:rsid w:val="00BB3169"/>
    <w:rsid w:val="00BB33B7"/>
    <w:rsid w:val="00BB354E"/>
    <w:rsid w:val="00BB3A21"/>
    <w:rsid w:val="00BB4E3B"/>
    <w:rsid w:val="00BB517A"/>
    <w:rsid w:val="00BB52E4"/>
    <w:rsid w:val="00BB55F5"/>
    <w:rsid w:val="00BB5924"/>
    <w:rsid w:val="00BB5978"/>
    <w:rsid w:val="00BB5A84"/>
    <w:rsid w:val="00BB62E1"/>
    <w:rsid w:val="00BB6549"/>
    <w:rsid w:val="00BB65B7"/>
    <w:rsid w:val="00BB6B4F"/>
    <w:rsid w:val="00BB6C4F"/>
    <w:rsid w:val="00BB6D58"/>
    <w:rsid w:val="00BB736B"/>
    <w:rsid w:val="00BC01B9"/>
    <w:rsid w:val="00BC0DCB"/>
    <w:rsid w:val="00BC11A1"/>
    <w:rsid w:val="00BC24B8"/>
    <w:rsid w:val="00BC279C"/>
    <w:rsid w:val="00BC2831"/>
    <w:rsid w:val="00BC30DF"/>
    <w:rsid w:val="00BC34C0"/>
    <w:rsid w:val="00BC3625"/>
    <w:rsid w:val="00BC3BF7"/>
    <w:rsid w:val="00BC3F27"/>
    <w:rsid w:val="00BC4210"/>
    <w:rsid w:val="00BC44D5"/>
    <w:rsid w:val="00BC46C6"/>
    <w:rsid w:val="00BC4811"/>
    <w:rsid w:val="00BC48EA"/>
    <w:rsid w:val="00BC492F"/>
    <w:rsid w:val="00BC4A2E"/>
    <w:rsid w:val="00BC50A6"/>
    <w:rsid w:val="00BC50CA"/>
    <w:rsid w:val="00BC5A3C"/>
    <w:rsid w:val="00BC5C19"/>
    <w:rsid w:val="00BC5E5F"/>
    <w:rsid w:val="00BC655D"/>
    <w:rsid w:val="00BC678D"/>
    <w:rsid w:val="00BC697A"/>
    <w:rsid w:val="00BC6990"/>
    <w:rsid w:val="00BC69D8"/>
    <w:rsid w:val="00BC6C89"/>
    <w:rsid w:val="00BC6F93"/>
    <w:rsid w:val="00BC7248"/>
    <w:rsid w:val="00BC7356"/>
    <w:rsid w:val="00BC79CB"/>
    <w:rsid w:val="00BC7A77"/>
    <w:rsid w:val="00BD029F"/>
    <w:rsid w:val="00BD0408"/>
    <w:rsid w:val="00BD0629"/>
    <w:rsid w:val="00BD0642"/>
    <w:rsid w:val="00BD0BF7"/>
    <w:rsid w:val="00BD0C96"/>
    <w:rsid w:val="00BD0FE2"/>
    <w:rsid w:val="00BD1C5B"/>
    <w:rsid w:val="00BD202A"/>
    <w:rsid w:val="00BD232B"/>
    <w:rsid w:val="00BD2FF4"/>
    <w:rsid w:val="00BD3B25"/>
    <w:rsid w:val="00BD3FCD"/>
    <w:rsid w:val="00BD40BC"/>
    <w:rsid w:val="00BD41C1"/>
    <w:rsid w:val="00BD424D"/>
    <w:rsid w:val="00BD4A9C"/>
    <w:rsid w:val="00BD4CB4"/>
    <w:rsid w:val="00BD4D7B"/>
    <w:rsid w:val="00BD54E7"/>
    <w:rsid w:val="00BD56B6"/>
    <w:rsid w:val="00BD5855"/>
    <w:rsid w:val="00BD5968"/>
    <w:rsid w:val="00BD6408"/>
    <w:rsid w:val="00BD6585"/>
    <w:rsid w:val="00BD7007"/>
    <w:rsid w:val="00BD71DC"/>
    <w:rsid w:val="00BD770E"/>
    <w:rsid w:val="00BD7AB2"/>
    <w:rsid w:val="00BD7B07"/>
    <w:rsid w:val="00BE0E6E"/>
    <w:rsid w:val="00BE1051"/>
    <w:rsid w:val="00BE1183"/>
    <w:rsid w:val="00BE13F9"/>
    <w:rsid w:val="00BE1836"/>
    <w:rsid w:val="00BE18ED"/>
    <w:rsid w:val="00BE19BC"/>
    <w:rsid w:val="00BE1C37"/>
    <w:rsid w:val="00BE1D53"/>
    <w:rsid w:val="00BE1DD1"/>
    <w:rsid w:val="00BE1DD4"/>
    <w:rsid w:val="00BE1F62"/>
    <w:rsid w:val="00BE2746"/>
    <w:rsid w:val="00BE2FB4"/>
    <w:rsid w:val="00BE31ED"/>
    <w:rsid w:val="00BE35B2"/>
    <w:rsid w:val="00BE3913"/>
    <w:rsid w:val="00BE497E"/>
    <w:rsid w:val="00BE4D4F"/>
    <w:rsid w:val="00BE546F"/>
    <w:rsid w:val="00BE56C3"/>
    <w:rsid w:val="00BE5FA5"/>
    <w:rsid w:val="00BE628A"/>
    <w:rsid w:val="00BE6C14"/>
    <w:rsid w:val="00BE6CF6"/>
    <w:rsid w:val="00BE6DB8"/>
    <w:rsid w:val="00BE6FA8"/>
    <w:rsid w:val="00BE749B"/>
    <w:rsid w:val="00BE7C94"/>
    <w:rsid w:val="00BF005B"/>
    <w:rsid w:val="00BF0B70"/>
    <w:rsid w:val="00BF1308"/>
    <w:rsid w:val="00BF1A44"/>
    <w:rsid w:val="00BF1F37"/>
    <w:rsid w:val="00BF20BE"/>
    <w:rsid w:val="00BF20CD"/>
    <w:rsid w:val="00BF230D"/>
    <w:rsid w:val="00BF25BD"/>
    <w:rsid w:val="00BF268E"/>
    <w:rsid w:val="00BF28C6"/>
    <w:rsid w:val="00BF3722"/>
    <w:rsid w:val="00BF3987"/>
    <w:rsid w:val="00BF535C"/>
    <w:rsid w:val="00BF5954"/>
    <w:rsid w:val="00BF59C7"/>
    <w:rsid w:val="00BF62B1"/>
    <w:rsid w:val="00BF6637"/>
    <w:rsid w:val="00BF6A62"/>
    <w:rsid w:val="00BF7A61"/>
    <w:rsid w:val="00C0018F"/>
    <w:rsid w:val="00C00830"/>
    <w:rsid w:val="00C01155"/>
    <w:rsid w:val="00C02802"/>
    <w:rsid w:val="00C02BB7"/>
    <w:rsid w:val="00C02E8E"/>
    <w:rsid w:val="00C03328"/>
    <w:rsid w:val="00C03386"/>
    <w:rsid w:val="00C038C4"/>
    <w:rsid w:val="00C03C42"/>
    <w:rsid w:val="00C03F60"/>
    <w:rsid w:val="00C042F1"/>
    <w:rsid w:val="00C0486A"/>
    <w:rsid w:val="00C049C8"/>
    <w:rsid w:val="00C05201"/>
    <w:rsid w:val="00C0561E"/>
    <w:rsid w:val="00C057CC"/>
    <w:rsid w:val="00C05A7C"/>
    <w:rsid w:val="00C05F8B"/>
    <w:rsid w:val="00C060A4"/>
    <w:rsid w:val="00C06546"/>
    <w:rsid w:val="00C06F54"/>
    <w:rsid w:val="00C10517"/>
    <w:rsid w:val="00C105CA"/>
    <w:rsid w:val="00C106F4"/>
    <w:rsid w:val="00C110C3"/>
    <w:rsid w:val="00C114C0"/>
    <w:rsid w:val="00C11500"/>
    <w:rsid w:val="00C11713"/>
    <w:rsid w:val="00C11866"/>
    <w:rsid w:val="00C11E8C"/>
    <w:rsid w:val="00C11FC3"/>
    <w:rsid w:val="00C120B0"/>
    <w:rsid w:val="00C1283B"/>
    <w:rsid w:val="00C12990"/>
    <w:rsid w:val="00C135BD"/>
    <w:rsid w:val="00C13640"/>
    <w:rsid w:val="00C1369C"/>
    <w:rsid w:val="00C139AC"/>
    <w:rsid w:val="00C13BB9"/>
    <w:rsid w:val="00C13CEF"/>
    <w:rsid w:val="00C1422B"/>
    <w:rsid w:val="00C14B5E"/>
    <w:rsid w:val="00C14BDC"/>
    <w:rsid w:val="00C14D74"/>
    <w:rsid w:val="00C14E7E"/>
    <w:rsid w:val="00C153E0"/>
    <w:rsid w:val="00C15493"/>
    <w:rsid w:val="00C15E54"/>
    <w:rsid w:val="00C16594"/>
    <w:rsid w:val="00C1692E"/>
    <w:rsid w:val="00C16A23"/>
    <w:rsid w:val="00C16B8B"/>
    <w:rsid w:val="00C17472"/>
    <w:rsid w:val="00C2015A"/>
    <w:rsid w:val="00C204E2"/>
    <w:rsid w:val="00C212C6"/>
    <w:rsid w:val="00C217D0"/>
    <w:rsid w:val="00C21B62"/>
    <w:rsid w:val="00C21EC0"/>
    <w:rsid w:val="00C22139"/>
    <w:rsid w:val="00C2257B"/>
    <w:rsid w:val="00C2332E"/>
    <w:rsid w:val="00C23BDB"/>
    <w:rsid w:val="00C23DB2"/>
    <w:rsid w:val="00C24314"/>
    <w:rsid w:val="00C244C3"/>
    <w:rsid w:val="00C2459E"/>
    <w:rsid w:val="00C245D8"/>
    <w:rsid w:val="00C24627"/>
    <w:rsid w:val="00C248CC"/>
    <w:rsid w:val="00C2492A"/>
    <w:rsid w:val="00C24D5F"/>
    <w:rsid w:val="00C24F14"/>
    <w:rsid w:val="00C25026"/>
    <w:rsid w:val="00C25385"/>
    <w:rsid w:val="00C25954"/>
    <w:rsid w:val="00C25D82"/>
    <w:rsid w:val="00C26360"/>
    <w:rsid w:val="00C2667C"/>
    <w:rsid w:val="00C26E49"/>
    <w:rsid w:val="00C27090"/>
    <w:rsid w:val="00C27843"/>
    <w:rsid w:val="00C27BD1"/>
    <w:rsid w:val="00C27CB0"/>
    <w:rsid w:val="00C27ECD"/>
    <w:rsid w:val="00C27F08"/>
    <w:rsid w:val="00C27F12"/>
    <w:rsid w:val="00C301C8"/>
    <w:rsid w:val="00C30548"/>
    <w:rsid w:val="00C30556"/>
    <w:rsid w:val="00C30647"/>
    <w:rsid w:val="00C30BBA"/>
    <w:rsid w:val="00C30DE9"/>
    <w:rsid w:val="00C30E11"/>
    <w:rsid w:val="00C310A6"/>
    <w:rsid w:val="00C31442"/>
    <w:rsid w:val="00C316D5"/>
    <w:rsid w:val="00C319BB"/>
    <w:rsid w:val="00C31BA7"/>
    <w:rsid w:val="00C31BD9"/>
    <w:rsid w:val="00C31E74"/>
    <w:rsid w:val="00C32014"/>
    <w:rsid w:val="00C322B4"/>
    <w:rsid w:val="00C3297C"/>
    <w:rsid w:val="00C33020"/>
    <w:rsid w:val="00C331DE"/>
    <w:rsid w:val="00C334FB"/>
    <w:rsid w:val="00C339D9"/>
    <w:rsid w:val="00C34009"/>
    <w:rsid w:val="00C34A03"/>
    <w:rsid w:val="00C34B5F"/>
    <w:rsid w:val="00C35573"/>
    <w:rsid w:val="00C357F9"/>
    <w:rsid w:val="00C35F85"/>
    <w:rsid w:val="00C36327"/>
    <w:rsid w:val="00C36640"/>
    <w:rsid w:val="00C366F5"/>
    <w:rsid w:val="00C3692D"/>
    <w:rsid w:val="00C36A4A"/>
    <w:rsid w:val="00C36C45"/>
    <w:rsid w:val="00C372AC"/>
    <w:rsid w:val="00C37358"/>
    <w:rsid w:val="00C376A5"/>
    <w:rsid w:val="00C37A23"/>
    <w:rsid w:val="00C37BF2"/>
    <w:rsid w:val="00C37E2E"/>
    <w:rsid w:val="00C400B2"/>
    <w:rsid w:val="00C4050F"/>
    <w:rsid w:val="00C4059B"/>
    <w:rsid w:val="00C408CB"/>
    <w:rsid w:val="00C408ED"/>
    <w:rsid w:val="00C41339"/>
    <w:rsid w:val="00C4186C"/>
    <w:rsid w:val="00C42A1B"/>
    <w:rsid w:val="00C42B23"/>
    <w:rsid w:val="00C4318D"/>
    <w:rsid w:val="00C431E5"/>
    <w:rsid w:val="00C43672"/>
    <w:rsid w:val="00C43DB3"/>
    <w:rsid w:val="00C4407E"/>
    <w:rsid w:val="00C44114"/>
    <w:rsid w:val="00C441DC"/>
    <w:rsid w:val="00C4498E"/>
    <w:rsid w:val="00C44C54"/>
    <w:rsid w:val="00C44DDC"/>
    <w:rsid w:val="00C453FC"/>
    <w:rsid w:val="00C45C0A"/>
    <w:rsid w:val="00C4630D"/>
    <w:rsid w:val="00C46C58"/>
    <w:rsid w:val="00C47113"/>
    <w:rsid w:val="00C47785"/>
    <w:rsid w:val="00C478A4"/>
    <w:rsid w:val="00C47A3E"/>
    <w:rsid w:val="00C47D9A"/>
    <w:rsid w:val="00C47FC2"/>
    <w:rsid w:val="00C50252"/>
    <w:rsid w:val="00C50414"/>
    <w:rsid w:val="00C50577"/>
    <w:rsid w:val="00C50891"/>
    <w:rsid w:val="00C50B5D"/>
    <w:rsid w:val="00C50FC9"/>
    <w:rsid w:val="00C5111D"/>
    <w:rsid w:val="00C514C4"/>
    <w:rsid w:val="00C51954"/>
    <w:rsid w:val="00C51BF5"/>
    <w:rsid w:val="00C52916"/>
    <w:rsid w:val="00C52F17"/>
    <w:rsid w:val="00C5476F"/>
    <w:rsid w:val="00C549F7"/>
    <w:rsid w:val="00C55BCE"/>
    <w:rsid w:val="00C55E68"/>
    <w:rsid w:val="00C56008"/>
    <w:rsid w:val="00C56688"/>
    <w:rsid w:val="00C5671C"/>
    <w:rsid w:val="00C569ED"/>
    <w:rsid w:val="00C56C1A"/>
    <w:rsid w:val="00C56D79"/>
    <w:rsid w:val="00C56F80"/>
    <w:rsid w:val="00C57249"/>
    <w:rsid w:val="00C572F5"/>
    <w:rsid w:val="00C5753A"/>
    <w:rsid w:val="00C57558"/>
    <w:rsid w:val="00C57A55"/>
    <w:rsid w:val="00C57E0F"/>
    <w:rsid w:val="00C57FF5"/>
    <w:rsid w:val="00C600B3"/>
    <w:rsid w:val="00C6016C"/>
    <w:rsid w:val="00C6053D"/>
    <w:rsid w:val="00C60816"/>
    <w:rsid w:val="00C60B17"/>
    <w:rsid w:val="00C60CB3"/>
    <w:rsid w:val="00C61388"/>
    <w:rsid w:val="00C6162E"/>
    <w:rsid w:val="00C616B2"/>
    <w:rsid w:val="00C61758"/>
    <w:rsid w:val="00C61F6C"/>
    <w:rsid w:val="00C62B0D"/>
    <w:rsid w:val="00C63B38"/>
    <w:rsid w:val="00C63C08"/>
    <w:rsid w:val="00C63C8C"/>
    <w:rsid w:val="00C63CC6"/>
    <w:rsid w:val="00C6487D"/>
    <w:rsid w:val="00C64C61"/>
    <w:rsid w:val="00C65562"/>
    <w:rsid w:val="00C655B0"/>
    <w:rsid w:val="00C65C26"/>
    <w:rsid w:val="00C65DA8"/>
    <w:rsid w:val="00C66104"/>
    <w:rsid w:val="00C668D4"/>
    <w:rsid w:val="00C669DC"/>
    <w:rsid w:val="00C66D9D"/>
    <w:rsid w:val="00C67281"/>
    <w:rsid w:val="00C67391"/>
    <w:rsid w:val="00C674B2"/>
    <w:rsid w:val="00C6759C"/>
    <w:rsid w:val="00C67AD5"/>
    <w:rsid w:val="00C701B2"/>
    <w:rsid w:val="00C7066B"/>
    <w:rsid w:val="00C70C52"/>
    <w:rsid w:val="00C70FEC"/>
    <w:rsid w:val="00C717C0"/>
    <w:rsid w:val="00C71868"/>
    <w:rsid w:val="00C7188C"/>
    <w:rsid w:val="00C71B29"/>
    <w:rsid w:val="00C71B80"/>
    <w:rsid w:val="00C71D5C"/>
    <w:rsid w:val="00C7215B"/>
    <w:rsid w:val="00C72FF6"/>
    <w:rsid w:val="00C73505"/>
    <w:rsid w:val="00C73A93"/>
    <w:rsid w:val="00C73B3B"/>
    <w:rsid w:val="00C73C43"/>
    <w:rsid w:val="00C73EBB"/>
    <w:rsid w:val="00C746D0"/>
    <w:rsid w:val="00C7496B"/>
    <w:rsid w:val="00C74B70"/>
    <w:rsid w:val="00C74D2F"/>
    <w:rsid w:val="00C75876"/>
    <w:rsid w:val="00C75CAE"/>
    <w:rsid w:val="00C76328"/>
    <w:rsid w:val="00C76397"/>
    <w:rsid w:val="00C77303"/>
    <w:rsid w:val="00C77510"/>
    <w:rsid w:val="00C77712"/>
    <w:rsid w:val="00C80097"/>
    <w:rsid w:val="00C80251"/>
    <w:rsid w:val="00C80680"/>
    <w:rsid w:val="00C80B2A"/>
    <w:rsid w:val="00C80B6F"/>
    <w:rsid w:val="00C80F76"/>
    <w:rsid w:val="00C817BE"/>
    <w:rsid w:val="00C82426"/>
    <w:rsid w:val="00C824A8"/>
    <w:rsid w:val="00C827DA"/>
    <w:rsid w:val="00C82A61"/>
    <w:rsid w:val="00C82F86"/>
    <w:rsid w:val="00C83A80"/>
    <w:rsid w:val="00C84436"/>
    <w:rsid w:val="00C84439"/>
    <w:rsid w:val="00C84639"/>
    <w:rsid w:val="00C84B1F"/>
    <w:rsid w:val="00C84ECE"/>
    <w:rsid w:val="00C8503C"/>
    <w:rsid w:val="00C85203"/>
    <w:rsid w:val="00C85346"/>
    <w:rsid w:val="00C85493"/>
    <w:rsid w:val="00C85ADF"/>
    <w:rsid w:val="00C85E26"/>
    <w:rsid w:val="00C861B8"/>
    <w:rsid w:val="00C8626D"/>
    <w:rsid w:val="00C86584"/>
    <w:rsid w:val="00C86F2F"/>
    <w:rsid w:val="00C8747A"/>
    <w:rsid w:val="00C902F6"/>
    <w:rsid w:val="00C9079E"/>
    <w:rsid w:val="00C90982"/>
    <w:rsid w:val="00C90A65"/>
    <w:rsid w:val="00C90CCF"/>
    <w:rsid w:val="00C9130F"/>
    <w:rsid w:val="00C919AF"/>
    <w:rsid w:val="00C91C22"/>
    <w:rsid w:val="00C91EBF"/>
    <w:rsid w:val="00C91F6C"/>
    <w:rsid w:val="00C923AF"/>
    <w:rsid w:val="00C925F3"/>
    <w:rsid w:val="00C92885"/>
    <w:rsid w:val="00C9324D"/>
    <w:rsid w:val="00C935DF"/>
    <w:rsid w:val="00C9397E"/>
    <w:rsid w:val="00C93E6D"/>
    <w:rsid w:val="00C93F0E"/>
    <w:rsid w:val="00C94117"/>
    <w:rsid w:val="00C9421F"/>
    <w:rsid w:val="00C94400"/>
    <w:rsid w:val="00C94682"/>
    <w:rsid w:val="00C94D56"/>
    <w:rsid w:val="00C9528C"/>
    <w:rsid w:val="00C952B0"/>
    <w:rsid w:val="00C95832"/>
    <w:rsid w:val="00C95F83"/>
    <w:rsid w:val="00C97239"/>
    <w:rsid w:val="00C97283"/>
    <w:rsid w:val="00CA0061"/>
    <w:rsid w:val="00CA0264"/>
    <w:rsid w:val="00CA02D0"/>
    <w:rsid w:val="00CA0310"/>
    <w:rsid w:val="00CA0CF4"/>
    <w:rsid w:val="00CA0FBC"/>
    <w:rsid w:val="00CA10A8"/>
    <w:rsid w:val="00CA1141"/>
    <w:rsid w:val="00CA1331"/>
    <w:rsid w:val="00CA1ABE"/>
    <w:rsid w:val="00CA2282"/>
    <w:rsid w:val="00CA2A02"/>
    <w:rsid w:val="00CA2FE5"/>
    <w:rsid w:val="00CA31D5"/>
    <w:rsid w:val="00CA37ED"/>
    <w:rsid w:val="00CA4B2C"/>
    <w:rsid w:val="00CA4EE5"/>
    <w:rsid w:val="00CA4F65"/>
    <w:rsid w:val="00CA5075"/>
    <w:rsid w:val="00CA5924"/>
    <w:rsid w:val="00CA5D22"/>
    <w:rsid w:val="00CA5E8D"/>
    <w:rsid w:val="00CA7491"/>
    <w:rsid w:val="00CA7694"/>
    <w:rsid w:val="00CA7EF3"/>
    <w:rsid w:val="00CB0552"/>
    <w:rsid w:val="00CB07B5"/>
    <w:rsid w:val="00CB12F9"/>
    <w:rsid w:val="00CB218A"/>
    <w:rsid w:val="00CB36D2"/>
    <w:rsid w:val="00CB3F59"/>
    <w:rsid w:val="00CB48D0"/>
    <w:rsid w:val="00CB498E"/>
    <w:rsid w:val="00CB51B2"/>
    <w:rsid w:val="00CB538D"/>
    <w:rsid w:val="00CB539F"/>
    <w:rsid w:val="00CB5A9E"/>
    <w:rsid w:val="00CB5EB8"/>
    <w:rsid w:val="00CB6490"/>
    <w:rsid w:val="00CB6E57"/>
    <w:rsid w:val="00CB746C"/>
    <w:rsid w:val="00CB79A9"/>
    <w:rsid w:val="00CB7C93"/>
    <w:rsid w:val="00CB7CCA"/>
    <w:rsid w:val="00CC0FE4"/>
    <w:rsid w:val="00CC1BEC"/>
    <w:rsid w:val="00CC244C"/>
    <w:rsid w:val="00CC2526"/>
    <w:rsid w:val="00CC26A7"/>
    <w:rsid w:val="00CC2BDD"/>
    <w:rsid w:val="00CC2D1F"/>
    <w:rsid w:val="00CC32AC"/>
    <w:rsid w:val="00CC3631"/>
    <w:rsid w:val="00CC3BF0"/>
    <w:rsid w:val="00CC3CD1"/>
    <w:rsid w:val="00CC44E8"/>
    <w:rsid w:val="00CC462B"/>
    <w:rsid w:val="00CC4869"/>
    <w:rsid w:val="00CC4A96"/>
    <w:rsid w:val="00CC5575"/>
    <w:rsid w:val="00CC59B6"/>
    <w:rsid w:val="00CC59F4"/>
    <w:rsid w:val="00CC611B"/>
    <w:rsid w:val="00CC6304"/>
    <w:rsid w:val="00CC6602"/>
    <w:rsid w:val="00CC6EE7"/>
    <w:rsid w:val="00CC75F6"/>
    <w:rsid w:val="00CC76AE"/>
    <w:rsid w:val="00CD0516"/>
    <w:rsid w:val="00CD0DA2"/>
    <w:rsid w:val="00CD14D8"/>
    <w:rsid w:val="00CD19C6"/>
    <w:rsid w:val="00CD1B3E"/>
    <w:rsid w:val="00CD22B8"/>
    <w:rsid w:val="00CD28BA"/>
    <w:rsid w:val="00CD2BC9"/>
    <w:rsid w:val="00CD2E04"/>
    <w:rsid w:val="00CD34D6"/>
    <w:rsid w:val="00CD37A6"/>
    <w:rsid w:val="00CD3977"/>
    <w:rsid w:val="00CD397C"/>
    <w:rsid w:val="00CD3A00"/>
    <w:rsid w:val="00CD4146"/>
    <w:rsid w:val="00CD4425"/>
    <w:rsid w:val="00CD5742"/>
    <w:rsid w:val="00CD5B00"/>
    <w:rsid w:val="00CD5F9E"/>
    <w:rsid w:val="00CD60D4"/>
    <w:rsid w:val="00CD63A4"/>
    <w:rsid w:val="00CD68C8"/>
    <w:rsid w:val="00CD68FE"/>
    <w:rsid w:val="00CD6CD2"/>
    <w:rsid w:val="00CD6EE8"/>
    <w:rsid w:val="00CD72C5"/>
    <w:rsid w:val="00CD7453"/>
    <w:rsid w:val="00CD768D"/>
    <w:rsid w:val="00CD795C"/>
    <w:rsid w:val="00CD79B7"/>
    <w:rsid w:val="00CE0723"/>
    <w:rsid w:val="00CE0953"/>
    <w:rsid w:val="00CE0969"/>
    <w:rsid w:val="00CE1392"/>
    <w:rsid w:val="00CE14EA"/>
    <w:rsid w:val="00CE1F86"/>
    <w:rsid w:val="00CE21E4"/>
    <w:rsid w:val="00CE2839"/>
    <w:rsid w:val="00CE3419"/>
    <w:rsid w:val="00CE3A2B"/>
    <w:rsid w:val="00CE3A54"/>
    <w:rsid w:val="00CE4106"/>
    <w:rsid w:val="00CE43A6"/>
    <w:rsid w:val="00CE4BA6"/>
    <w:rsid w:val="00CE50C5"/>
    <w:rsid w:val="00CE53F2"/>
    <w:rsid w:val="00CE57D0"/>
    <w:rsid w:val="00CE62F5"/>
    <w:rsid w:val="00CE6542"/>
    <w:rsid w:val="00CE65DD"/>
    <w:rsid w:val="00CE6690"/>
    <w:rsid w:val="00CE66A7"/>
    <w:rsid w:val="00CE6F65"/>
    <w:rsid w:val="00CE70AA"/>
    <w:rsid w:val="00CE753E"/>
    <w:rsid w:val="00CE79B6"/>
    <w:rsid w:val="00CF0257"/>
    <w:rsid w:val="00CF10BF"/>
    <w:rsid w:val="00CF11CE"/>
    <w:rsid w:val="00CF1242"/>
    <w:rsid w:val="00CF1360"/>
    <w:rsid w:val="00CF1D44"/>
    <w:rsid w:val="00CF1E11"/>
    <w:rsid w:val="00CF2356"/>
    <w:rsid w:val="00CF23CC"/>
    <w:rsid w:val="00CF2852"/>
    <w:rsid w:val="00CF2CCA"/>
    <w:rsid w:val="00CF2EC1"/>
    <w:rsid w:val="00CF324E"/>
    <w:rsid w:val="00CF38DF"/>
    <w:rsid w:val="00CF38E8"/>
    <w:rsid w:val="00CF3CCA"/>
    <w:rsid w:val="00CF3D90"/>
    <w:rsid w:val="00CF45E5"/>
    <w:rsid w:val="00CF5146"/>
    <w:rsid w:val="00CF52A7"/>
    <w:rsid w:val="00CF54AF"/>
    <w:rsid w:val="00CF57FA"/>
    <w:rsid w:val="00CF5F93"/>
    <w:rsid w:val="00CF5FF9"/>
    <w:rsid w:val="00CF61EF"/>
    <w:rsid w:val="00CF64C6"/>
    <w:rsid w:val="00CF7041"/>
    <w:rsid w:val="00CF709E"/>
    <w:rsid w:val="00CF70D7"/>
    <w:rsid w:val="00CF7252"/>
    <w:rsid w:val="00CF726B"/>
    <w:rsid w:val="00CF7410"/>
    <w:rsid w:val="00CF7B4B"/>
    <w:rsid w:val="00CF7CA4"/>
    <w:rsid w:val="00D00594"/>
    <w:rsid w:val="00D00F37"/>
    <w:rsid w:val="00D018D2"/>
    <w:rsid w:val="00D01AFF"/>
    <w:rsid w:val="00D01BA5"/>
    <w:rsid w:val="00D01DEC"/>
    <w:rsid w:val="00D02374"/>
    <w:rsid w:val="00D02C32"/>
    <w:rsid w:val="00D0340A"/>
    <w:rsid w:val="00D03CC5"/>
    <w:rsid w:val="00D0471F"/>
    <w:rsid w:val="00D051B8"/>
    <w:rsid w:val="00D05209"/>
    <w:rsid w:val="00D058E3"/>
    <w:rsid w:val="00D06131"/>
    <w:rsid w:val="00D067B5"/>
    <w:rsid w:val="00D07102"/>
    <w:rsid w:val="00D075FD"/>
    <w:rsid w:val="00D0790C"/>
    <w:rsid w:val="00D07955"/>
    <w:rsid w:val="00D07B34"/>
    <w:rsid w:val="00D10BD3"/>
    <w:rsid w:val="00D10D4F"/>
    <w:rsid w:val="00D1104A"/>
    <w:rsid w:val="00D111BA"/>
    <w:rsid w:val="00D11ADD"/>
    <w:rsid w:val="00D123F6"/>
    <w:rsid w:val="00D12D79"/>
    <w:rsid w:val="00D12DCC"/>
    <w:rsid w:val="00D14420"/>
    <w:rsid w:val="00D14545"/>
    <w:rsid w:val="00D145A4"/>
    <w:rsid w:val="00D1485B"/>
    <w:rsid w:val="00D148AA"/>
    <w:rsid w:val="00D148B9"/>
    <w:rsid w:val="00D14917"/>
    <w:rsid w:val="00D14B76"/>
    <w:rsid w:val="00D1570B"/>
    <w:rsid w:val="00D15833"/>
    <w:rsid w:val="00D15956"/>
    <w:rsid w:val="00D15AA7"/>
    <w:rsid w:val="00D15B49"/>
    <w:rsid w:val="00D15DB4"/>
    <w:rsid w:val="00D17421"/>
    <w:rsid w:val="00D20246"/>
    <w:rsid w:val="00D2034E"/>
    <w:rsid w:val="00D204E0"/>
    <w:rsid w:val="00D20516"/>
    <w:rsid w:val="00D207DB"/>
    <w:rsid w:val="00D20A4A"/>
    <w:rsid w:val="00D21D4C"/>
    <w:rsid w:val="00D22202"/>
    <w:rsid w:val="00D226C3"/>
    <w:rsid w:val="00D23B09"/>
    <w:rsid w:val="00D23E26"/>
    <w:rsid w:val="00D23F4B"/>
    <w:rsid w:val="00D243C3"/>
    <w:rsid w:val="00D247AC"/>
    <w:rsid w:val="00D256CC"/>
    <w:rsid w:val="00D25871"/>
    <w:rsid w:val="00D278A1"/>
    <w:rsid w:val="00D27CA7"/>
    <w:rsid w:val="00D30951"/>
    <w:rsid w:val="00D309E8"/>
    <w:rsid w:val="00D312AD"/>
    <w:rsid w:val="00D31327"/>
    <w:rsid w:val="00D318FE"/>
    <w:rsid w:val="00D319A6"/>
    <w:rsid w:val="00D31AD7"/>
    <w:rsid w:val="00D31B95"/>
    <w:rsid w:val="00D31E2E"/>
    <w:rsid w:val="00D31F49"/>
    <w:rsid w:val="00D32140"/>
    <w:rsid w:val="00D32D30"/>
    <w:rsid w:val="00D33402"/>
    <w:rsid w:val="00D335AD"/>
    <w:rsid w:val="00D341E4"/>
    <w:rsid w:val="00D345E2"/>
    <w:rsid w:val="00D3466F"/>
    <w:rsid w:val="00D34697"/>
    <w:rsid w:val="00D34844"/>
    <w:rsid w:val="00D34964"/>
    <w:rsid w:val="00D34AFD"/>
    <w:rsid w:val="00D34BB0"/>
    <w:rsid w:val="00D34C29"/>
    <w:rsid w:val="00D363DE"/>
    <w:rsid w:val="00D36792"/>
    <w:rsid w:val="00D36AB5"/>
    <w:rsid w:val="00D36B1C"/>
    <w:rsid w:val="00D36F36"/>
    <w:rsid w:val="00D3730C"/>
    <w:rsid w:val="00D37FBB"/>
    <w:rsid w:val="00D401E0"/>
    <w:rsid w:val="00D40B20"/>
    <w:rsid w:val="00D41E81"/>
    <w:rsid w:val="00D41EF7"/>
    <w:rsid w:val="00D4253F"/>
    <w:rsid w:val="00D427E7"/>
    <w:rsid w:val="00D428D4"/>
    <w:rsid w:val="00D43428"/>
    <w:rsid w:val="00D43598"/>
    <w:rsid w:val="00D4387D"/>
    <w:rsid w:val="00D43A68"/>
    <w:rsid w:val="00D44087"/>
    <w:rsid w:val="00D44214"/>
    <w:rsid w:val="00D448F6"/>
    <w:rsid w:val="00D4589F"/>
    <w:rsid w:val="00D4632B"/>
    <w:rsid w:val="00D4645E"/>
    <w:rsid w:val="00D467CA"/>
    <w:rsid w:val="00D46929"/>
    <w:rsid w:val="00D46B67"/>
    <w:rsid w:val="00D46C67"/>
    <w:rsid w:val="00D472AC"/>
    <w:rsid w:val="00D47658"/>
    <w:rsid w:val="00D477AD"/>
    <w:rsid w:val="00D508E3"/>
    <w:rsid w:val="00D50BEC"/>
    <w:rsid w:val="00D50D52"/>
    <w:rsid w:val="00D50FA5"/>
    <w:rsid w:val="00D51106"/>
    <w:rsid w:val="00D51642"/>
    <w:rsid w:val="00D5190D"/>
    <w:rsid w:val="00D51954"/>
    <w:rsid w:val="00D51D4A"/>
    <w:rsid w:val="00D528ED"/>
    <w:rsid w:val="00D52B65"/>
    <w:rsid w:val="00D52C33"/>
    <w:rsid w:val="00D5481B"/>
    <w:rsid w:val="00D54885"/>
    <w:rsid w:val="00D55029"/>
    <w:rsid w:val="00D550B4"/>
    <w:rsid w:val="00D551CA"/>
    <w:rsid w:val="00D55CE6"/>
    <w:rsid w:val="00D55DB8"/>
    <w:rsid w:val="00D5619D"/>
    <w:rsid w:val="00D5630B"/>
    <w:rsid w:val="00D56553"/>
    <w:rsid w:val="00D56D5F"/>
    <w:rsid w:val="00D56F6E"/>
    <w:rsid w:val="00D56FA6"/>
    <w:rsid w:val="00D57C10"/>
    <w:rsid w:val="00D57E1A"/>
    <w:rsid w:val="00D6047C"/>
    <w:rsid w:val="00D604C9"/>
    <w:rsid w:val="00D608AD"/>
    <w:rsid w:val="00D60953"/>
    <w:rsid w:val="00D60B01"/>
    <w:rsid w:val="00D60F60"/>
    <w:rsid w:val="00D611D7"/>
    <w:rsid w:val="00D61227"/>
    <w:rsid w:val="00D6156B"/>
    <w:rsid w:val="00D61822"/>
    <w:rsid w:val="00D6197C"/>
    <w:rsid w:val="00D61A22"/>
    <w:rsid w:val="00D61AD1"/>
    <w:rsid w:val="00D61F94"/>
    <w:rsid w:val="00D6202E"/>
    <w:rsid w:val="00D620E4"/>
    <w:rsid w:val="00D62A45"/>
    <w:rsid w:val="00D63046"/>
    <w:rsid w:val="00D630D2"/>
    <w:rsid w:val="00D64217"/>
    <w:rsid w:val="00D64262"/>
    <w:rsid w:val="00D6473B"/>
    <w:rsid w:val="00D64A8A"/>
    <w:rsid w:val="00D64AB4"/>
    <w:rsid w:val="00D64F69"/>
    <w:rsid w:val="00D64F7B"/>
    <w:rsid w:val="00D64F85"/>
    <w:rsid w:val="00D652DD"/>
    <w:rsid w:val="00D65756"/>
    <w:rsid w:val="00D65D4B"/>
    <w:rsid w:val="00D65E22"/>
    <w:rsid w:val="00D66284"/>
    <w:rsid w:val="00D66675"/>
    <w:rsid w:val="00D66BD4"/>
    <w:rsid w:val="00D66C67"/>
    <w:rsid w:val="00D66D34"/>
    <w:rsid w:val="00D66D43"/>
    <w:rsid w:val="00D66DC3"/>
    <w:rsid w:val="00D66EE3"/>
    <w:rsid w:val="00D67573"/>
    <w:rsid w:val="00D675C0"/>
    <w:rsid w:val="00D67B03"/>
    <w:rsid w:val="00D67FDE"/>
    <w:rsid w:val="00D70005"/>
    <w:rsid w:val="00D70137"/>
    <w:rsid w:val="00D70568"/>
    <w:rsid w:val="00D7103F"/>
    <w:rsid w:val="00D7122E"/>
    <w:rsid w:val="00D71567"/>
    <w:rsid w:val="00D7188E"/>
    <w:rsid w:val="00D71B4C"/>
    <w:rsid w:val="00D71F73"/>
    <w:rsid w:val="00D72DBD"/>
    <w:rsid w:val="00D73075"/>
    <w:rsid w:val="00D74289"/>
    <w:rsid w:val="00D74698"/>
    <w:rsid w:val="00D7495D"/>
    <w:rsid w:val="00D7553D"/>
    <w:rsid w:val="00D75EAC"/>
    <w:rsid w:val="00D76178"/>
    <w:rsid w:val="00D762A9"/>
    <w:rsid w:val="00D763BD"/>
    <w:rsid w:val="00D76C5E"/>
    <w:rsid w:val="00D76D68"/>
    <w:rsid w:val="00D77003"/>
    <w:rsid w:val="00D77222"/>
    <w:rsid w:val="00D77A50"/>
    <w:rsid w:val="00D80543"/>
    <w:rsid w:val="00D808E8"/>
    <w:rsid w:val="00D80A62"/>
    <w:rsid w:val="00D80D8D"/>
    <w:rsid w:val="00D80E65"/>
    <w:rsid w:val="00D811CE"/>
    <w:rsid w:val="00D8166E"/>
    <w:rsid w:val="00D819A7"/>
    <w:rsid w:val="00D81AB1"/>
    <w:rsid w:val="00D81B3C"/>
    <w:rsid w:val="00D81D5F"/>
    <w:rsid w:val="00D81D92"/>
    <w:rsid w:val="00D823A2"/>
    <w:rsid w:val="00D82664"/>
    <w:rsid w:val="00D826F9"/>
    <w:rsid w:val="00D82CDE"/>
    <w:rsid w:val="00D8361E"/>
    <w:rsid w:val="00D8416E"/>
    <w:rsid w:val="00D8448E"/>
    <w:rsid w:val="00D84AF0"/>
    <w:rsid w:val="00D84F43"/>
    <w:rsid w:val="00D8508F"/>
    <w:rsid w:val="00D8542A"/>
    <w:rsid w:val="00D85AE8"/>
    <w:rsid w:val="00D85EDE"/>
    <w:rsid w:val="00D85F29"/>
    <w:rsid w:val="00D8619A"/>
    <w:rsid w:val="00D86EEA"/>
    <w:rsid w:val="00D8703F"/>
    <w:rsid w:val="00D87446"/>
    <w:rsid w:val="00D8765A"/>
    <w:rsid w:val="00D87AFF"/>
    <w:rsid w:val="00D87D24"/>
    <w:rsid w:val="00D90485"/>
    <w:rsid w:val="00D90781"/>
    <w:rsid w:val="00D90BE0"/>
    <w:rsid w:val="00D90C63"/>
    <w:rsid w:val="00D9112A"/>
    <w:rsid w:val="00D91306"/>
    <w:rsid w:val="00D91C17"/>
    <w:rsid w:val="00D91E7E"/>
    <w:rsid w:val="00D91F8D"/>
    <w:rsid w:val="00D920AE"/>
    <w:rsid w:val="00D926F7"/>
    <w:rsid w:val="00D927D1"/>
    <w:rsid w:val="00D92887"/>
    <w:rsid w:val="00D9288A"/>
    <w:rsid w:val="00D934E3"/>
    <w:rsid w:val="00D941DE"/>
    <w:rsid w:val="00D943F0"/>
    <w:rsid w:val="00D944D3"/>
    <w:rsid w:val="00D95BCE"/>
    <w:rsid w:val="00D961A1"/>
    <w:rsid w:val="00D961D3"/>
    <w:rsid w:val="00D961D8"/>
    <w:rsid w:val="00D963CF"/>
    <w:rsid w:val="00D96407"/>
    <w:rsid w:val="00D96933"/>
    <w:rsid w:val="00D96E81"/>
    <w:rsid w:val="00D9772B"/>
    <w:rsid w:val="00DA01B3"/>
    <w:rsid w:val="00DA05E8"/>
    <w:rsid w:val="00DA0A50"/>
    <w:rsid w:val="00DA0D1B"/>
    <w:rsid w:val="00DA126F"/>
    <w:rsid w:val="00DA13A7"/>
    <w:rsid w:val="00DA1DF6"/>
    <w:rsid w:val="00DA1F1C"/>
    <w:rsid w:val="00DA236B"/>
    <w:rsid w:val="00DA24D1"/>
    <w:rsid w:val="00DA25F9"/>
    <w:rsid w:val="00DA29A2"/>
    <w:rsid w:val="00DA2A6D"/>
    <w:rsid w:val="00DA2B77"/>
    <w:rsid w:val="00DA366E"/>
    <w:rsid w:val="00DA3895"/>
    <w:rsid w:val="00DA3D25"/>
    <w:rsid w:val="00DA3DF7"/>
    <w:rsid w:val="00DA3E76"/>
    <w:rsid w:val="00DA412B"/>
    <w:rsid w:val="00DA4F04"/>
    <w:rsid w:val="00DA5056"/>
    <w:rsid w:val="00DA51E6"/>
    <w:rsid w:val="00DA5A80"/>
    <w:rsid w:val="00DA633D"/>
    <w:rsid w:val="00DA67B6"/>
    <w:rsid w:val="00DA7368"/>
    <w:rsid w:val="00DA79DE"/>
    <w:rsid w:val="00DA7C90"/>
    <w:rsid w:val="00DA7D28"/>
    <w:rsid w:val="00DA7F3A"/>
    <w:rsid w:val="00DB0046"/>
    <w:rsid w:val="00DB0123"/>
    <w:rsid w:val="00DB0286"/>
    <w:rsid w:val="00DB02ED"/>
    <w:rsid w:val="00DB0DF7"/>
    <w:rsid w:val="00DB18FC"/>
    <w:rsid w:val="00DB1DFB"/>
    <w:rsid w:val="00DB22E2"/>
    <w:rsid w:val="00DB256F"/>
    <w:rsid w:val="00DB260C"/>
    <w:rsid w:val="00DB2A3F"/>
    <w:rsid w:val="00DB2B9E"/>
    <w:rsid w:val="00DB2C33"/>
    <w:rsid w:val="00DB3394"/>
    <w:rsid w:val="00DB34D7"/>
    <w:rsid w:val="00DB37FD"/>
    <w:rsid w:val="00DB3831"/>
    <w:rsid w:val="00DB42B5"/>
    <w:rsid w:val="00DB4644"/>
    <w:rsid w:val="00DB4853"/>
    <w:rsid w:val="00DB4D2C"/>
    <w:rsid w:val="00DB4E5A"/>
    <w:rsid w:val="00DB54C4"/>
    <w:rsid w:val="00DB556E"/>
    <w:rsid w:val="00DB5AD8"/>
    <w:rsid w:val="00DB61F6"/>
    <w:rsid w:val="00DB6707"/>
    <w:rsid w:val="00DB6A40"/>
    <w:rsid w:val="00DB7107"/>
    <w:rsid w:val="00DB727A"/>
    <w:rsid w:val="00DB72D8"/>
    <w:rsid w:val="00DB7BF9"/>
    <w:rsid w:val="00DB7C4C"/>
    <w:rsid w:val="00DB7EA1"/>
    <w:rsid w:val="00DC0B63"/>
    <w:rsid w:val="00DC0CB9"/>
    <w:rsid w:val="00DC0E6F"/>
    <w:rsid w:val="00DC127F"/>
    <w:rsid w:val="00DC1485"/>
    <w:rsid w:val="00DC178E"/>
    <w:rsid w:val="00DC17A4"/>
    <w:rsid w:val="00DC18AC"/>
    <w:rsid w:val="00DC2476"/>
    <w:rsid w:val="00DC28C9"/>
    <w:rsid w:val="00DC2D4B"/>
    <w:rsid w:val="00DC326B"/>
    <w:rsid w:val="00DC343C"/>
    <w:rsid w:val="00DC3519"/>
    <w:rsid w:val="00DC3537"/>
    <w:rsid w:val="00DC3569"/>
    <w:rsid w:val="00DC3B9E"/>
    <w:rsid w:val="00DC3BE4"/>
    <w:rsid w:val="00DC4BA1"/>
    <w:rsid w:val="00DC51A3"/>
    <w:rsid w:val="00DC5267"/>
    <w:rsid w:val="00DC546A"/>
    <w:rsid w:val="00DC595F"/>
    <w:rsid w:val="00DC6CFF"/>
    <w:rsid w:val="00DC6FEE"/>
    <w:rsid w:val="00DC744D"/>
    <w:rsid w:val="00DC7457"/>
    <w:rsid w:val="00DC74C2"/>
    <w:rsid w:val="00DC79AE"/>
    <w:rsid w:val="00DC7D84"/>
    <w:rsid w:val="00DD0418"/>
    <w:rsid w:val="00DD081D"/>
    <w:rsid w:val="00DD15B8"/>
    <w:rsid w:val="00DD1645"/>
    <w:rsid w:val="00DD1859"/>
    <w:rsid w:val="00DD19C1"/>
    <w:rsid w:val="00DD1AD5"/>
    <w:rsid w:val="00DD1B37"/>
    <w:rsid w:val="00DD1BA9"/>
    <w:rsid w:val="00DD28AE"/>
    <w:rsid w:val="00DD2E21"/>
    <w:rsid w:val="00DD2FA7"/>
    <w:rsid w:val="00DD3165"/>
    <w:rsid w:val="00DD3369"/>
    <w:rsid w:val="00DD3C61"/>
    <w:rsid w:val="00DD3CD4"/>
    <w:rsid w:val="00DD46BF"/>
    <w:rsid w:val="00DD4CD0"/>
    <w:rsid w:val="00DD4EB6"/>
    <w:rsid w:val="00DD5841"/>
    <w:rsid w:val="00DD5A92"/>
    <w:rsid w:val="00DD5F3A"/>
    <w:rsid w:val="00DD63E5"/>
    <w:rsid w:val="00DD6409"/>
    <w:rsid w:val="00DD6B26"/>
    <w:rsid w:val="00DD7653"/>
    <w:rsid w:val="00DD7776"/>
    <w:rsid w:val="00DE03D9"/>
    <w:rsid w:val="00DE1514"/>
    <w:rsid w:val="00DE19B9"/>
    <w:rsid w:val="00DE1A37"/>
    <w:rsid w:val="00DE1B58"/>
    <w:rsid w:val="00DE209F"/>
    <w:rsid w:val="00DE296D"/>
    <w:rsid w:val="00DE2FE8"/>
    <w:rsid w:val="00DE3169"/>
    <w:rsid w:val="00DE39EC"/>
    <w:rsid w:val="00DE3C5D"/>
    <w:rsid w:val="00DE3E9F"/>
    <w:rsid w:val="00DE420C"/>
    <w:rsid w:val="00DE4AE4"/>
    <w:rsid w:val="00DE4D0A"/>
    <w:rsid w:val="00DE4D7E"/>
    <w:rsid w:val="00DE56A9"/>
    <w:rsid w:val="00DE5732"/>
    <w:rsid w:val="00DE5D46"/>
    <w:rsid w:val="00DE5EE7"/>
    <w:rsid w:val="00DE6A1A"/>
    <w:rsid w:val="00DE6D84"/>
    <w:rsid w:val="00DE6FC4"/>
    <w:rsid w:val="00DE6FFB"/>
    <w:rsid w:val="00DE766B"/>
    <w:rsid w:val="00DE7A1D"/>
    <w:rsid w:val="00DE7BA6"/>
    <w:rsid w:val="00DF0455"/>
    <w:rsid w:val="00DF11DE"/>
    <w:rsid w:val="00DF1227"/>
    <w:rsid w:val="00DF16CA"/>
    <w:rsid w:val="00DF1B93"/>
    <w:rsid w:val="00DF1EC7"/>
    <w:rsid w:val="00DF2139"/>
    <w:rsid w:val="00DF22DC"/>
    <w:rsid w:val="00DF26A2"/>
    <w:rsid w:val="00DF2A7E"/>
    <w:rsid w:val="00DF2FEC"/>
    <w:rsid w:val="00DF3501"/>
    <w:rsid w:val="00DF3D6F"/>
    <w:rsid w:val="00DF424C"/>
    <w:rsid w:val="00DF4951"/>
    <w:rsid w:val="00DF5378"/>
    <w:rsid w:val="00DF587A"/>
    <w:rsid w:val="00DF5CA9"/>
    <w:rsid w:val="00DF62D7"/>
    <w:rsid w:val="00DF6684"/>
    <w:rsid w:val="00DF6989"/>
    <w:rsid w:val="00DF6D3E"/>
    <w:rsid w:val="00DF76C2"/>
    <w:rsid w:val="00DF780B"/>
    <w:rsid w:val="00DF7A78"/>
    <w:rsid w:val="00DF7D79"/>
    <w:rsid w:val="00E002E7"/>
    <w:rsid w:val="00E006B5"/>
    <w:rsid w:val="00E007D1"/>
    <w:rsid w:val="00E00BD4"/>
    <w:rsid w:val="00E0142A"/>
    <w:rsid w:val="00E0158E"/>
    <w:rsid w:val="00E01672"/>
    <w:rsid w:val="00E01755"/>
    <w:rsid w:val="00E01930"/>
    <w:rsid w:val="00E01998"/>
    <w:rsid w:val="00E0207B"/>
    <w:rsid w:val="00E024F1"/>
    <w:rsid w:val="00E02A2F"/>
    <w:rsid w:val="00E02CCB"/>
    <w:rsid w:val="00E02D89"/>
    <w:rsid w:val="00E034CF"/>
    <w:rsid w:val="00E036BB"/>
    <w:rsid w:val="00E03903"/>
    <w:rsid w:val="00E03BFE"/>
    <w:rsid w:val="00E03DAD"/>
    <w:rsid w:val="00E04151"/>
    <w:rsid w:val="00E043E4"/>
    <w:rsid w:val="00E0476E"/>
    <w:rsid w:val="00E0491A"/>
    <w:rsid w:val="00E04B6E"/>
    <w:rsid w:val="00E0519B"/>
    <w:rsid w:val="00E059CF"/>
    <w:rsid w:val="00E0613F"/>
    <w:rsid w:val="00E06815"/>
    <w:rsid w:val="00E0690B"/>
    <w:rsid w:val="00E073BA"/>
    <w:rsid w:val="00E07648"/>
    <w:rsid w:val="00E0786A"/>
    <w:rsid w:val="00E0790C"/>
    <w:rsid w:val="00E0793C"/>
    <w:rsid w:val="00E07EE4"/>
    <w:rsid w:val="00E1077E"/>
    <w:rsid w:val="00E10D81"/>
    <w:rsid w:val="00E10EE6"/>
    <w:rsid w:val="00E11331"/>
    <w:rsid w:val="00E1142A"/>
    <w:rsid w:val="00E115AC"/>
    <w:rsid w:val="00E11AB6"/>
    <w:rsid w:val="00E11D0C"/>
    <w:rsid w:val="00E11F2E"/>
    <w:rsid w:val="00E12201"/>
    <w:rsid w:val="00E12606"/>
    <w:rsid w:val="00E12BEC"/>
    <w:rsid w:val="00E13262"/>
    <w:rsid w:val="00E139CB"/>
    <w:rsid w:val="00E13BC3"/>
    <w:rsid w:val="00E13E10"/>
    <w:rsid w:val="00E13EAC"/>
    <w:rsid w:val="00E14858"/>
    <w:rsid w:val="00E14B27"/>
    <w:rsid w:val="00E14CCD"/>
    <w:rsid w:val="00E14D82"/>
    <w:rsid w:val="00E14F00"/>
    <w:rsid w:val="00E15088"/>
    <w:rsid w:val="00E152C5"/>
    <w:rsid w:val="00E153CF"/>
    <w:rsid w:val="00E15558"/>
    <w:rsid w:val="00E15A2F"/>
    <w:rsid w:val="00E16589"/>
    <w:rsid w:val="00E166CE"/>
    <w:rsid w:val="00E16995"/>
    <w:rsid w:val="00E16F72"/>
    <w:rsid w:val="00E17E53"/>
    <w:rsid w:val="00E17E79"/>
    <w:rsid w:val="00E2009B"/>
    <w:rsid w:val="00E200A4"/>
    <w:rsid w:val="00E20888"/>
    <w:rsid w:val="00E20BDE"/>
    <w:rsid w:val="00E20F42"/>
    <w:rsid w:val="00E20F9B"/>
    <w:rsid w:val="00E210F5"/>
    <w:rsid w:val="00E215C8"/>
    <w:rsid w:val="00E21CBA"/>
    <w:rsid w:val="00E21F39"/>
    <w:rsid w:val="00E221A9"/>
    <w:rsid w:val="00E22998"/>
    <w:rsid w:val="00E22AB6"/>
    <w:rsid w:val="00E22D29"/>
    <w:rsid w:val="00E2328F"/>
    <w:rsid w:val="00E233FD"/>
    <w:rsid w:val="00E23780"/>
    <w:rsid w:val="00E23FC0"/>
    <w:rsid w:val="00E2411C"/>
    <w:rsid w:val="00E2453A"/>
    <w:rsid w:val="00E24F16"/>
    <w:rsid w:val="00E250AB"/>
    <w:rsid w:val="00E25446"/>
    <w:rsid w:val="00E25FE4"/>
    <w:rsid w:val="00E263F5"/>
    <w:rsid w:val="00E26747"/>
    <w:rsid w:val="00E26AFF"/>
    <w:rsid w:val="00E26E83"/>
    <w:rsid w:val="00E2712E"/>
    <w:rsid w:val="00E27200"/>
    <w:rsid w:val="00E27500"/>
    <w:rsid w:val="00E2756C"/>
    <w:rsid w:val="00E27A05"/>
    <w:rsid w:val="00E3010D"/>
    <w:rsid w:val="00E30288"/>
    <w:rsid w:val="00E30BF8"/>
    <w:rsid w:val="00E30EB1"/>
    <w:rsid w:val="00E31073"/>
    <w:rsid w:val="00E314C1"/>
    <w:rsid w:val="00E317DF"/>
    <w:rsid w:val="00E31F2E"/>
    <w:rsid w:val="00E3238C"/>
    <w:rsid w:val="00E3258D"/>
    <w:rsid w:val="00E325A5"/>
    <w:rsid w:val="00E32B14"/>
    <w:rsid w:val="00E330AB"/>
    <w:rsid w:val="00E33426"/>
    <w:rsid w:val="00E33B45"/>
    <w:rsid w:val="00E343FF"/>
    <w:rsid w:val="00E34A48"/>
    <w:rsid w:val="00E35049"/>
    <w:rsid w:val="00E352AD"/>
    <w:rsid w:val="00E3538B"/>
    <w:rsid w:val="00E353E5"/>
    <w:rsid w:val="00E357EE"/>
    <w:rsid w:val="00E358BC"/>
    <w:rsid w:val="00E3771E"/>
    <w:rsid w:val="00E37841"/>
    <w:rsid w:val="00E37B31"/>
    <w:rsid w:val="00E403F0"/>
    <w:rsid w:val="00E40BD0"/>
    <w:rsid w:val="00E414FE"/>
    <w:rsid w:val="00E416E1"/>
    <w:rsid w:val="00E41B9F"/>
    <w:rsid w:val="00E42738"/>
    <w:rsid w:val="00E42942"/>
    <w:rsid w:val="00E42D0A"/>
    <w:rsid w:val="00E43382"/>
    <w:rsid w:val="00E44939"/>
    <w:rsid w:val="00E44A91"/>
    <w:rsid w:val="00E44C78"/>
    <w:rsid w:val="00E44E07"/>
    <w:rsid w:val="00E44E2E"/>
    <w:rsid w:val="00E453B4"/>
    <w:rsid w:val="00E4588E"/>
    <w:rsid w:val="00E4611D"/>
    <w:rsid w:val="00E4784D"/>
    <w:rsid w:val="00E4793B"/>
    <w:rsid w:val="00E507D9"/>
    <w:rsid w:val="00E50994"/>
    <w:rsid w:val="00E50AAC"/>
    <w:rsid w:val="00E513DC"/>
    <w:rsid w:val="00E51845"/>
    <w:rsid w:val="00E51982"/>
    <w:rsid w:val="00E51AEC"/>
    <w:rsid w:val="00E52033"/>
    <w:rsid w:val="00E520CE"/>
    <w:rsid w:val="00E5234E"/>
    <w:rsid w:val="00E52AA9"/>
    <w:rsid w:val="00E53347"/>
    <w:rsid w:val="00E53D13"/>
    <w:rsid w:val="00E5464B"/>
    <w:rsid w:val="00E550D2"/>
    <w:rsid w:val="00E558DC"/>
    <w:rsid w:val="00E559B3"/>
    <w:rsid w:val="00E55C8A"/>
    <w:rsid w:val="00E56779"/>
    <w:rsid w:val="00E567FA"/>
    <w:rsid w:val="00E56966"/>
    <w:rsid w:val="00E56C87"/>
    <w:rsid w:val="00E56DE7"/>
    <w:rsid w:val="00E56EAE"/>
    <w:rsid w:val="00E57159"/>
    <w:rsid w:val="00E572C4"/>
    <w:rsid w:val="00E5792F"/>
    <w:rsid w:val="00E57C95"/>
    <w:rsid w:val="00E6008C"/>
    <w:rsid w:val="00E6019E"/>
    <w:rsid w:val="00E602E2"/>
    <w:rsid w:val="00E606A7"/>
    <w:rsid w:val="00E61032"/>
    <w:rsid w:val="00E6120F"/>
    <w:rsid w:val="00E6127B"/>
    <w:rsid w:val="00E61571"/>
    <w:rsid w:val="00E61AFF"/>
    <w:rsid w:val="00E61B1E"/>
    <w:rsid w:val="00E61FDF"/>
    <w:rsid w:val="00E6223A"/>
    <w:rsid w:val="00E62338"/>
    <w:rsid w:val="00E63484"/>
    <w:rsid w:val="00E63553"/>
    <w:rsid w:val="00E635F4"/>
    <w:rsid w:val="00E63F9A"/>
    <w:rsid w:val="00E64242"/>
    <w:rsid w:val="00E64280"/>
    <w:rsid w:val="00E64389"/>
    <w:rsid w:val="00E645B0"/>
    <w:rsid w:val="00E64612"/>
    <w:rsid w:val="00E64821"/>
    <w:rsid w:val="00E65419"/>
    <w:rsid w:val="00E6569A"/>
    <w:rsid w:val="00E6607C"/>
    <w:rsid w:val="00E66260"/>
    <w:rsid w:val="00E66455"/>
    <w:rsid w:val="00E669A8"/>
    <w:rsid w:val="00E66A98"/>
    <w:rsid w:val="00E66BC3"/>
    <w:rsid w:val="00E66F56"/>
    <w:rsid w:val="00E670E3"/>
    <w:rsid w:val="00E6716E"/>
    <w:rsid w:val="00E672EC"/>
    <w:rsid w:val="00E678EC"/>
    <w:rsid w:val="00E678F7"/>
    <w:rsid w:val="00E67AA2"/>
    <w:rsid w:val="00E70034"/>
    <w:rsid w:val="00E70299"/>
    <w:rsid w:val="00E702AC"/>
    <w:rsid w:val="00E704DB"/>
    <w:rsid w:val="00E70791"/>
    <w:rsid w:val="00E71063"/>
    <w:rsid w:val="00E712C5"/>
    <w:rsid w:val="00E72197"/>
    <w:rsid w:val="00E724A4"/>
    <w:rsid w:val="00E72637"/>
    <w:rsid w:val="00E72C2E"/>
    <w:rsid w:val="00E72C8F"/>
    <w:rsid w:val="00E7308D"/>
    <w:rsid w:val="00E736D1"/>
    <w:rsid w:val="00E73A95"/>
    <w:rsid w:val="00E73B1F"/>
    <w:rsid w:val="00E73C7F"/>
    <w:rsid w:val="00E7400B"/>
    <w:rsid w:val="00E744AB"/>
    <w:rsid w:val="00E7453A"/>
    <w:rsid w:val="00E74E63"/>
    <w:rsid w:val="00E753D2"/>
    <w:rsid w:val="00E75580"/>
    <w:rsid w:val="00E75800"/>
    <w:rsid w:val="00E75B79"/>
    <w:rsid w:val="00E75EA5"/>
    <w:rsid w:val="00E75F95"/>
    <w:rsid w:val="00E761F8"/>
    <w:rsid w:val="00E767E5"/>
    <w:rsid w:val="00E76C09"/>
    <w:rsid w:val="00E779B7"/>
    <w:rsid w:val="00E77A64"/>
    <w:rsid w:val="00E77A79"/>
    <w:rsid w:val="00E77BB2"/>
    <w:rsid w:val="00E77CB2"/>
    <w:rsid w:val="00E80382"/>
    <w:rsid w:val="00E80BE1"/>
    <w:rsid w:val="00E80F28"/>
    <w:rsid w:val="00E80F80"/>
    <w:rsid w:val="00E811A5"/>
    <w:rsid w:val="00E81BF5"/>
    <w:rsid w:val="00E823D4"/>
    <w:rsid w:val="00E82656"/>
    <w:rsid w:val="00E82660"/>
    <w:rsid w:val="00E826E6"/>
    <w:rsid w:val="00E82ACB"/>
    <w:rsid w:val="00E82ADC"/>
    <w:rsid w:val="00E82AF2"/>
    <w:rsid w:val="00E8318F"/>
    <w:rsid w:val="00E836CD"/>
    <w:rsid w:val="00E83E16"/>
    <w:rsid w:val="00E846A3"/>
    <w:rsid w:val="00E846F8"/>
    <w:rsid w:val="00E8506D"/>
    <w:rsid w:val="00E854F4"/>
    <w:rsid w:val="00E85BBF"/>
    <w:rsid w:val="00E85F71"/>
    <w:rsid w:val="00E868D4"/>
    <w:rsid w:val="00E86F97"/>
    <w:rsid w:val="00E87208"/>
    <w:rsid w:val="00E8761E"/>
    <w:rsid w:val="00E87655"/>
    <w:rsid w:val="00E877AE"/>
    <w:rsid w:val="00E87DD3"/>
    <w:rsid w:val="00E900C4"/>
    <w:rsid w:val="00E90260"/>
    <w:rsid w:val="00E913B5"/>
    <w:rsid w:val="00E91975"/>
    <w:rsid w:val="00E91BC4"/>
    <w:rsid w:val="00E92063"/>
    <w:rsid w:val="00E92762"/>
    <w:rsid w:val="00E92B9C"/>
    <w:rsid w:val="00E92E38"/>
    <w:rsid w:val="00E936F3"/>
    <w:rsid w:val="00E94C6A"/>
    <w:rsid w:val="00E952C7"/>
    <w:rsid w:val="00E9536D"/>
    <w:rsid w:val="00E96044"/>
    <w:rsid w:val="00E96979"/>
    <w:rsid w:val="00E96983"/>
    <w:rsid w:val="00E96A34"/>
    <w:rsid w:val="00E97769"/>
    <w:rsid w:val="00E97A27"/>
    <w:rsid w:val="00E97D58"/>
    <w:rsid w:val="00EA031E"/>
    <w:rsid w:val="00EA0479"/>
    <w:rsid w:val="00EA086F"/>
    <w:rsid w:val="00EA0899"/>
    <w:rsid w:val="00EA08D0"/>
    <w:rsid w:val="00EA0B59"/>
    <w:rsid w:val="00EA0E43"/>
    <w:rsid w:val="00EA0F56"/>
    <w:rsid w:val="00EA0FD5"/>
    <w:rsid w:val="00EA13BA"/>
    <w:rsid w:val="00EA1662"/>
    <w:rsid w:val="00EA1BC3"/>
    <w:rsid w:val="00EA1F56"/>
    <w:rsid w:val="00EA2618"/>
    <w:rsid w:val="00EA265B"/>
    <w:rsid w:val="00EA2BD7"/>
    <w:rsid w:val="00EA3134"/>
    <w:rsid w:val="00EA33EB"/>
    <w:rsid w:val="00EA34D1"/>
    <w:rsid w:val="00EA35C7"/>
    <w:rsid w:val="00EA37AC"/>
    <w:rsid w:val="00EA3F5B"/>
    <w:rsid w:val="00EA446F"/>
    <w:rsid w:val="00EA48C8"/>
    <w:rsid w:val="00EA4ED8"/>
    <w:rsid w:val="00EA5453"/>
    <w:rsid w:val="00EA566E"/>
    <w:rsid w:val="00EA5801"/>
    <w:rsid w:val="00EA5D79"/>
    <w:rsid w:val="00EA6878"/>
    <w:rsid w:val="00EA6959"/>
    <w:rsid w:val="00EA6C6E"/>
    <w:rsid w:val="00EA6D15"/>
    <w:rsid w:val="00EA776C"/>
    <w:rsid w:val="00EA7968"/>
    <w:rsid w:val="00EA7B3F"/>
    <w:rsid w:val="00EA7EA2"/>
    <w:rsid w:val="00EB00B3"/>
    <w:rsid w:val="00EB03E4"/>
    <w:rsid w:val="00EB0990"/>
    <w:rsid w:val="00EB09C9"/>
    <w:rsid w:val="00EB16B2"/>
    <w:rsid w:val="00EB2532"/>
    <w:rsid w:val="00EB2ED8"/>
    <w:rsid w:val="00EB2F6E"/>
    <w:rsid w:val="00EB341D"/>
    <w:rsid w:val="00EB3740"/>
    <w:rsid w:val="00EB39B4"/>
    <w:rsid w:val="00EB3DA7"/>
    <w:rsid w:val="00EB3EE7"/>
    <w:rsid w:val="00EB3FAF"/>
    <w:rsid w:val="00EB401F"/>
    <w:rsid w:val="00EB420D"/>
    <w:rsid w:val="00EB46D7"/>
    <w:rsid w:val="00EB50F0"/>
    <w:rsid w:val="00EB556F"/>
    <w:rsid w:val="00EB564D"/>
    <w:rsid w:val="00EB58A5"/>
    <w:rsid w:val="00EB62B8"/>
    <w:rsid w:val="00EB63C9"/>
    <w:rsid w:val="00EB6455"/>
    <w:rsid w:val="00EB6781"/>
    <w:rsid w:val="00EB6D9F"/>
    <w:rsid w:val="00EB74D7"/>
    <w:rsid w:val="00EB7501"/>
    <w:rsid w:val="00EB78D8"/>
    <w:rsid w:val="00EB79E1"/>
    <w:rsid w:val="00EB7AAE"/>
    <w:rsid w:val="00EB7FCE"/>
    <w:rsid w:val="00EC0050"/>
    <w:rsid w:val="00EC014C"/>
    <w:rsid w:val="00EC08ED"/>
    <w:rsid w:val="00EC0EC0"/>
    <w:rsid w:val="00EC1609"/>
    <w:rsid w:val="00EC1BCA"/>
    <w:rsid w:val="00EC1DE0"/>
    <w:rsid w:val="00EC20F5"/>
    <w:rsid w:val="00EC2B98"/>
    <w:rsid w:val="00EC2D64"/>
    <w:rsid w:val="00EC377F"/>
    <w:rsid w:val="00EC3BE2"/>
    <w:rsid w:val="00EC42EE"/>
    <w:rsid w:val="00EC483D"/>
    <w:rsid w:val="00EC48D1"/>
    <w:rsid w:val="00EC4F70"/>
    <w:rsid w:val="00EC56BD"/>
    <w:rsid w:val="00EC59A0"/>
    <w:rsid w:val="00EC6165"/>
    <w:rsid w:val="00EC61C9"/>
    <w:rsid w:val="00EC6518"/>
    <w:rsid w:val="00EC696C"/>
    <w:rsid w:val="00EC6A25"/>
    <w:rsid w:val="00EC6A92"/>
    <w:rsid w:val="00EC6C38"/>
    <w:rsid w:val="00EC707B"/>
    <w:rsid w:val="00EC73DF"/>
    <w:rsid w:val="00ED039D"/>
    <w:rsid w:val="00ED0939"/>
    <w:rsid w:val="00ED0C60"/>
    <w:rsid w:val="00ED0F6D"/>
    <w:rsid w:val="00ED1613"/>
    <w:rsid w:val="00ED204B"/>
    <w:rsid w:val="00ED21FE"/>
    <w:rsid w:val="00ED23A2"/>
    <w:rsid w:val="00ED279E"/>
    <w:rsid w:val="00ED2A9C"/>
    <w:rsid w:val="00ED36A7"/>
    <w:rsid w:val="00ED3982"/>
    <w:rsid w:val="00ED40E2"/>
    <w:rsid w:val="00ED44B9"/>
    <w:rsid w:val="00ED5D6B"/>
    <w:rsid w:val="00ED5E5D"/>
    <w:rsid w:val="00ED6F01"/>
    <w:rsid w:val="00ED6F84"/>
    <w:rsid w:val="00ED71F1"/>
    <w:rsid w:val="00ED7CE7"/>
    <w:rsid w:val="00EE02A3"/>
    <w:rsid w:val="00EE0986"/>
    <w:rsid w:val="00EE0B19"/>
    <w:rsid w:val="00EE0F99"/>
    <w:rsid w:val="00EE1031"/>
    <w:rsid w:val="00EE10E0"/>
    <w:rsid w:val="00EE1921"/>
    <w:rsid w:val="00EE2080"/>
    <w:rsid w:val="00EE271C"/>
    <w:rsid w:val="00EE28D7"/>
    <w:rsid w:val="00EE2967"/>
    <w:rsid w:val="00EE2B46"/>
    <w:rsid w:val="00EE38C8"/>
    <w:rsid w:val="00EE3F9E"/>
    <w:rsid w:val="00EE43F3"/>
    <w:rsid w:val="00EE48F5"/>
    <w:rsid w:val="00EE4CEF"/>
    <w:rsid w:val="00EE52DF"/>
    <w:rsid w:val="00EE5E93"/>
    <w:rsid w:val="00EE74F3"/>
    <w:rsid w:val="00EE754C"/>
    <w:rsid w:val="00EF04A8"/>
    <w:rsid w:val="00EF0908"/>
    <w:rsid w:val="00EF0D50"/>
    <w:rsid w:val="00EF1150"/>
    <w:rsid w:val="00EF1519"/>
    <w:rsid w:val="00EF1700"/>
    <w:rsid w:val="00EF1944"/>
    <w:rsid w:val="00EF2AD4"/>
    <w:rsid w:val="00EF30F5"/>
    <w:rsid w:val="00EF387F"/>
    <w:rsid w:val="00EF3CDA"/>
    <w:rsid w:val="00EF44D2"/>
    <w:rsid w:val="00EF4EA6"/>
    <w:rsid w:val="00EF5115"/>
    <w:rsid w:val="00EF516A"/>
    <w:rsid w:val="00EF520C"/>
    <w:rsid w:val="00EF529C"/>
    <w:rsid w:val="00EF5607"/>
    <w:rsid w:val="00EF56A1"/>
    <w:rsid w:val="00EF5A18"/>
    <w:rsid w:val="00EF5CE1"/>
    <w:rsid w:val="00EF6349"/>
    <w:rsid w:val="00EF74BC"/>
    <w:rsid w:val="00EF75FE"/>
    <w:rsid w:val="00EF77B2"/>
    <w:rsid w:val="00EF79D0"/>
    <w:rsid w:val="00EF7ADD"/>
    <w:rsid w:val="00EF7C1C"/>
    <w:rsid w:val="00EF7DD6"/>
    <w:rsid w:val="00F00847"/>
    <w:rsid w:val="00F00B41"/>
    <w:rsid w:val="00F00BC5"/>
    <w:rsid w:val="00F00EB9"/>
    <w:rsid w:val="00F01177"/>
    <w:rsid w:val="00F015E4"/>
    <w:rsid w:val="00F01A45"/>
    <w:rsid w:val="00F01B5B"/>
    <w:rsid w:val="00F02359"/>
    <w:rsid w:val="00F0284F"/>
    <w:rsid w:val="00F0285B"/>
    <w:rsid w:val="00F02A14"/>
    <w:rsid w:val="00F03212"/>
    <w:rsid w:val="00F03487"/>
    <w:rsid w:val="00F03B21"/>
    <w:rsid w:val="00F03D5A"/>
    <w:rsid w:val="00F04DD5"/>
    <w:rsid w:val="00F04E67"/>
    <w:rsid w:val="00F04F2F"/>
    <w:rsid w:val="00F04FB5"/>
    <w:rsid w:val="00F050D9"/>
    <w:rsid w:val="00F058A4"/>
    <w:rsid w:val="00F058D6"/>
    <w:rsid w:val="00F065FD"/>
    <w:rsid w:val="00F06B59"/>
    <w:rsid w:val="00F06CC2"/>
    <w:rsid w:val="00F07271"/>
    <w:rsid w:val="00F078D4"/>
    <w:rsid w:val="00F07B76"/>
    <w:rsid w:val="00F07DEF"/>
    <w:rsid w:val="00F100D0"/>
    <w:rsid w:val="00F10A52"/>
    <w:rsid w:val="00F11587"/>
    <w:rsid w:val="00F11909"/>
    <w:rsid w:val="00F11A28"/>
    <w:rsid w:val="00F11FAB"/>
    <w:rsid w:val="00F12291"/>
    <w:rsid w:val="00F138AD"/>
    <w:rsid w:val="00F13EB6"/>
    <w:rsid w:val="00F14641"/>
    <w:rsid w:val="00F148A4"/>
    <w:rsid w:val="00F153ED"/>
    <w:rsid w:val="00F1560E"/>
    <w:rsid w:val="00F1579F"/>
    <w:rsid w:val="00F158F8"/>
    <w:rsid w:val="00F15F18"/>
    <w:rsid w:val="00F164B3"/>
    <w:rsid w:val="00F16D67"/>
    <w:rsid w:val="00F16F6B"/>
    <w:rsid w:val="00F16F9D"/>
    <w:rsid w:val="00F17580"/>
    <w:rsid w:val="00F17618"/>
    <w:rsid w:val="00F17897"/>
    <w:rsid w:val="00F17A04"/>
    <w:rsid w:val="00F17BDF"/>
    <w:rsid w:val="00F20273"/>
    <w:rsid w:val="00F20B35"/>
    <w:rsid w:val="00F21081"/>
    <w:rsid w:val="00F21388"/>
    <w:rsid w:val="00F2140B"/>
    <w:rsid w:val="00F21581"/>
    <w:rsid w:val="00F2197B"/>
    <w:rsid w:val="00F219EB"/>
    <w:rsid w:val="00F225A3"/>
    <w:rsid w:val="00F225ED"/>
    <w:rsid w:val="00F225F6"/>
    <w:rsid w:val="00F22898"/>
    <w:rsid w:val="00F22F28"/>
    <w:rsid w:val="00F236A1"/>
    <w:rsid w:val="00F236A2"/>
    <w:rsid w:val="00F23B0C"/>
    <w:rsid w:val="00F24137"/>
    <w:rsid w:val="00F24215"/>
    <w:rsid w:val="00F2424F"/>
    <w:rsid w:val="00F24437"/>
    <w:rsid w:val="00F2485E"/>
    <w:rsid w:val="00F24A31"/>
    <w:rsid w:val="00F2544C"/>
    <w:rsid w:val="00F263BC"/>
    <w:rsid w:val="00F27308"/>
    <w:rsid w:val="00F273B9"/>
    <w:rsid w:val="00F27603"/>
    <w:rsid w:val="00F27A71"/>
    <w:rsid w:val="00F30060"/>
    <w:rsid w:val="00F3006C"/>
    <w:rsid w:val="00F3099A"/>
    <w:rsid w:val="00F30DFD"/>
    <w:rsid w:val="00F31104"/>
    <w:rsid w:val="00F3113C"/>
    <w:rsid w:val="00F31E50"/>
    <w:rsid w:val="00F32EE3"/>
    <w:rsid w:val="00F3371E"/>
    <w:rsid w:val="00F3382E"/>
    <w:rsid w:val="00F338BB"/>
    <w:rsid w:val="00F33A2E"/>
    <w:rsid w:val="00F33DF9"/>
    <w:rsid w:val="00F33EE6"/>
    <w:rsid w:val="00F3410F"/>
    <w:rsid w:val="00F345B0"/>
    <w:rsid w:val="00F34863"/>
    <w:rsid w:val="00F34A2A"/>
    <w:rsid w:val="00F34A58"/>
    <w:rsid w:val="00F34BBC"/>
    <w:rsid w:val="00F34F20"/>
    <w:rsid w:val="00F3587C"/>
    <w:rsid w:val="00F35956"/>
    <w:rsid w:val="00F359A9"/>
    <w:rsid w:val="00F35AFA"/>
    <w:rsid w:val="00F35C6D"/>
    <w:rsid w:val="00F36AEB"/>
    <w:rsid w:val="00F36E38"/>
    <w:rsid w:val="00F37230"/>
    <w:rsid w:val="00F37A66"/>
    <w:rsid w:val="00F37FC1"/>
    <w:rsid w:val="00F405F8"/>
    <w:rsid w:val="00F40600"/>
    <w:rsid w:val="00F4077C"/>
    <w:rsid w:val="00F40DB6"/>
    <w:rsid w:val="00F41194"/>
    <w:rsid w:val="00F4141C"/>
    <w:rsid w:val="00F417AA"/>
    <w:rsid w:val="00F41AB8"/>
    <w:rsid w:val="00F42408"/>
    <w:rsid w:val="00F42B6B"/>
    <w:rsid w:val="00F42DC5"/>
    <w:rsid w:val="00F42E10"/>
    <w:rsid w:val="00F4362D"/>
    <w:rsid w:val="00F43E46"/>
    <w:rsid w:val="00F440CF"/>
    <w:rsid w:val="00F4416B"/>
    <w:rsid w:val="00F44CC6"/>
    <w:rsid w:val="00F453D5"/>
    <w:rsid w:val="00F458C7"/>
    <w:rsid w:val="00F45A2D"/>
    <w:rsid w:val="00F46BC6"/>
    <w:rsid w:val="00F46ECF"/>
    <w:rsid w:val="00F474A5"/>
    <w:rsid w:val="00F47C1D"/>
    <w:rsid w:val="00F50837"/>
    <w:rsid w:val="00F50C8A"/>
    <w:rsid w:val="00F510E7"/>
    <w:rsid w:val="00F52218"/>
    <w:rsid w:val="00F52436"/>
    <w:rsid w:val="00F52527"/>
    <w:rsid w:val="00F5270F"/>
    <w:rsid w:val="00F5296B"/>
    <w:rsid w:val="00F52DFB"/>
    <w:rsid w:val="00F535E9"/>
    <w:rsid w:val="00F53730"/>
    <w:rsid w:val="00F53978"/>
    <w:rsid w:val="00F53D8A"/>
    <w:rsid w:val="00F53F26"/>
    <w:rsid w:val="00F542A9"/>
    <w:rsid w:val="00F544D2"/>
    <w:rsid w:val="00F545BA"/>
    <w:rsid w:val="00F5468C"/>
    <w:rsid w:val="00F54DEE"/>
    <w:rsid w:val="00F54E29"/>
    <w:rsid w:val="00F5532E"/>
    <w:rsid w:val="00F556E7"/>
    <w:rsid w:val="00F55BC5"/>
    <w:rsid w:val="00F55D61"/>
    <w:rsid w:val="00F55ECA"/>
    <w:rsid w:val="00F56296"/>
    <w:rsid w:val="00F56375"/>
    <w:rsid w:val="00F56A15"/>
    <w:rsid w:val="00F56B8E"/>
    <w:rsid w:val="00F56CA0"/>
    <w:rsid w:val="00F56F10"/>
    <w:rsid w:val="00F56F90"/>
    <w:rsid w:val="00F57220"/>
    <w:rsid w:val="00F57DAF"/>
    <w:rsid w:val="00F608C2"/>
    <w:rsid w:val="00F60E5F"/>
    <w:rsid w:val="00F611CD"/>
    <w:rsid w:val="00F6221B"/>
    <w:rsid w:val="00F62522"/>
    <w:rsid w:val="00F6275C"/>
    <w:rsid w:val="00F629D9"/>
    <w:rsid w:val="00F62BA2"/>
    <w:rsid w:val="00F6363F"/>
    <w:rsid w:val="00F6380B"/>
    <w:rsid w:val="00F63822"/>
    <w:rsid w:val="00F638D4"/>
    <w:rsid w:val="00F63D70"/>
    <w:rsid w:val="00F63F77"/>
    <w:rsid w:val="00F65041"/>
    <w:rsid w:val="00F651B3"/>
    <w:rsid w:val="00F655AB"/>
    <w:rsid w:val="00F65653"/>
    <w:rsid w:val="00F65C60"/>
    <w:rsid w:val="00F65F24"/>
    <w:rsid w:val="00F65FA9"/>
    <w:rsid w:val="00F65FD3"/>
    <w:rsid w:val="00F661AC"/>
    <w:rsid w:val="00F667F1"/>
    <w:rsid w:val="00F668D7"/>
    <w:rsid w:val="00F66941"/>
    <w:rsid w:val="00F669B4"/>
    <w:rsid w:val="00F66B11"/>
    <w:rsid w:val="00F66C07"/>
    <w:rsid w:val="00F674B9"/>
    <w:rsid w:val="00F70148"/>
    <w:rsid w:val="00F7055F"/>
    <w:rsid w:val="00F70921"/>
    <w:rsid w:val="00F70A0E"/>
    <w:rsid w:val="00F70E18"/>
    <w:rsid w:val="00F70EA0"/>
    <w:rsid w:val="00F712AD"/>
    <w:rsid w:val="00F713CF"/>
    <w:rsid w:val="00F718DB"/>
    <w:rsid w:val="00F71E1E"/>
    <w:rsid w:val="00F71EA8"/>
    <w:rsid w:val="00F71FB6"/>
    <w:rsid w:val="00F72238"/>
    <w:rsid w:val="00F723BF"/>
    <w:rsid w:val="00F7278A"/>
    <w:rsid w:val="00F729D4"/>
    <w:rsid w:val="00F72A2B"/>
    <w:rsid w:val="00F731AA"/>
    <w:rsid w:val="00F731B5"/>
    <w:rsid w:val="00F73B01"/>
    <w:rsid w:val="00F73F95"/>
    <w:rsid w:val="00F73FAF"/>
    <w:rsid w:val="00F7416C"/>
    <w:rsid w:val="00F74BA4"/>
    <w:rsid w:val="00F75067"/>
    <w:rsid w:val="00F7509B"/>
    <w:rsid w:val="00F751C2"/>
    <w:rsid w:val="00F75211"/>
    <w:rsid w:val="00F7545E"/>
    <w:rsid w:val="00F75551"/>
    <w:rsid w:val="00F7561A"/>
    <w:rsid w:val="00F75876"/>
    <w:rsid w:val="00F7610B"/>
    <w:rsid w:val="00F76322"/>
    <w:rsid w:val="00F76669"/>
    <w:rsid w:val="00F76E70"/>
    <w:rsid w:val="00F76F24"/>
    <w:rsid w:val="00F76F31"/>
    <w:rsid w:val="00F77290"/>
    <w:rsid w:val="00F77537"/>
    <w:rsid w:val="00F800D4"/>
    <w:rsid w:val="00F8047F"/>
    <w:rsid w:val="00F807D9"/>
    <w:rsid w:val="00F80A54"/>
    <w:rsid w:val="00F80C82"/>
    <w:rsid w:val="00F80D47"/>
    <w:rsid w:val="00F80E6D"/>
    <w:rsid w:val="00F81071"/>
    <w:rsid w:val="00F8139C"/>
    <w:rsid w:val="00F819F8"/>
    <w:rsid w:val="00F81A12"/>
    <w:rsid w:val="00F81C97"/>
    <w:rsid w:val="00F81DDF"/>
    <w:rsid w:val="00F82943"/>
    <w:rsid w:val="00F8352F"/>
    <w:rsid w:val="00F8374C"/>
    <w:rsid w:val="00F83B3E"/>
    <w:rsid w:val="00F83F22"/>
    <w:rsid w:val="00F840BB"/>
    <w:rsid w:val="00F842AB"/>
    <w:rsid w:val="00F84CBD"/>
    <w:rsid w:val="00F85A0C"/>
    <w:rsid w:val="00F85E69"/>
    <w:rsid w:val="00F861E4"/>
    <w:rsid w:val="00F86220"/>
    <w:rsid w:val="00F8688F"/>
    <w:rsid w:val="00F86DDB"/>
    <w:rsid w:val="00F86F45"/>
    <w:rsid w:val="00F8714D"/>
    <w:rsid w:val="00F87354"/>
    <w:rsid w:val="00F875F2"/>
    <w:rsid w:val="00F877EF"/>
    <w:rsid w:val="00F877F6"/>
    <w:rsid w:val="00F90090"/>
    <w:rsid w:val="00F90792"/>
    <w:rsid w:val="00F908A9"/>
    <w:rsid w:val="00F90E2D"/>
    <w:rsid w:val="00F9152F"/>
    <w:rsid w:val="00F915E9"/>
    <w:rsid w:val="00F91671"/>
    <w:rsid w:val="00F928E5"/>
    <w:rsid w:val="00F92E27"/>
    <w:rsid w:val="00F933B1"/>
    <w:rsid w:val="00F933C2"/>
    <w:rsid w:val="00F939D7"/>
    <w:rsid w:val="00F93A1F"/>
    <w:rsid w:val="00F93D74"/>
    <w:rsid w:val="00F94078"/>
    <w:rsid w:val="00F94586"/>
    <w:rsid w:val="00F94950"/>
    <w:rsid w:val="00F94F2F"/>
    <w:rsid w:val="00F95229"/>
    <w:rsid w:val="00F9531A"/>
    <w:rsid w:val="00F95946"/>
    <w:rsid w:val="00F966C5"/>
    <w:rsid w:val="00F96788"/>
    <w:rsid w:val="00F96D87"/>
    <w:rsid w:val="00F973BC"/>
    <w:rsid w:val="00F9746F"/>
    <w:rsid w:val="00F97677"/>
    <w:rsid w:val="00F977DA"/>
    <w:rsid w:val="00F97928"/>
    <w:rsid w:val="00F97C14"/>
    <w:rsid w:val="00FA0735"/>
    <w:rsid w:val="00FA09E8"/>
    <w:rsid w:val="00FA0A08"/>
    <w:rsid w:val="00FA0C47"/>
    <w:rsid w:val="00FA0F2D"/>
    <w:rsid w:val="00FA17E4"/>
    <w:rsid w:val="00FA1AA5"/>
    <w:rsid w:val="00FA1B04"/>
    <w:rsid w:val="00FA24FF"/>
    <w:rsid w:val="00FA25F7"/>
    <w:rsid w:val="00FA2A79"/>
    <w:rsid w:val="00FA2EBC"/>
    <w:rsid w:val="00FA301D"/>
    <w:rsid w:val="00FA3483"/>
    <w:rsid w:val="00FA34D4"/>
    <w:rsid w:val="00FA3597"/>
    <w:rsid w:val="00FA41E3"/>
    <w:rsid w:val="00FA4254"/>
    <w:rsid w:val="00FA4C05"/>
    <w:rsid w:val="00FA4EF7"/>
    <w:rsid w:val="00FA5006"/>
    <w:rsid w:val="00FA5315"/>
    <w:rsid w:val="00FA5A34"/>
    <w:rsid w:val="00FA5BE8"/>
    <w:rsid w:val="00FA6026"/>
    <w:rsid w:val="00FA61F6"/>
    <w:rsid w:val="00FA6423"/>
    <w:rsid w:val="00FA66A4"/>
    <w:rsid w:val="00FA675E"/>
    <w:rsid w:val="00FA6976"/>
    <w:rsid w:val="00FA6C56"/>
    <w:rsid w:val="00FA7128"/>
    <w:rsid w:val="00FA7268"/>
    <w:rsid w:val="00FA7389"/>
    <w:rsid w:val="00FA7929"/>
    <w:rsid w:val="00FA7AEC"/>
    <w:rsid w:val="00FA7D9C"/>
    <w:rsid w:val="00FA7E57"/>
    <w:rsid w:val="00FA7EEB"/>
    <w:rsid w:val="00FB069A"/>
    <w:rsid w:val="00FB0804"/>
    <w:rsid w:val="00FB09D6"/>
    <w:rsid w:val="00FB0C9C"/>
    <w:rsid w:val="00FB1736"/>
    <w:rsid w:val="00FB1DB9"/>
    <w:rsid w:val="00FB2271"/>
    <w:rsid w:val="00FB282A"/>
    <w:rsid w:val="00FB2BD6"/>
    <w:rsid w:val="00FB2CCC"/>
    <w:rsid w:val="00FB2E05"/>
    <w:rsid w:val="00FB2E26"/>
    <w:rsid w:val="00FB33E8"/>
    <w:rsid w:val="00FB346C"/>
    <w:rsid w:val="00FB35CD"/>
    <w:rsid w:val="00FB39F6"/>
    <w:rsid w:val="00FB3AA2"/>
    <w:rsid w:val="00FB3E3E"/>
    <w:rsid w:val="00FB3EB5"/>
    <w:rsid w:val="00FB4253"/>
    <w:rsid w:val="00FB4C3F"/>
    <w:rsid w:val="00FB5486"/>
    <w:rsid w:val="00FB5489"/>
    <w:rsid w:val="00FB563E"/>
    <w:rsid w:val="00FB632F"/>
    <w:rsid w:val="00FB68A7"/>
    <w:rsid w:val="00FB6C61"/>
    <w:rsid w:val="00FB71FB"/>
    <w:rsid w:val="00FB7BB8"/>
    <w:rsid w:val="00FB7FD4"/>
    <w:rsid w:val="00FC01F7"/>
    <w:rsid w:val="00FC0584"/>
    <w:rsid w:val="00FC0605"/>
    <w:rsid w:val="00FC0740"/>
    <w:rsid w:val="00FC1028"/>
    <w:rsid w:val="00FC1466"/>
    <w:rsid w:val="00FC1A43"/>
    <w:rsid w:val="00FC1A82"/>
    <w:rsid w:val="00FC1D1F"/>
    <w:rsid w:val="00FC2145"/>
    <w:rsid w:val="00FC2222"/>
    <w:rsid w:val="00FC2A96"/>
    <w:rsid w:val="00FC2D03"/>
    <w:rsid w:val="00FC2EA8"/>
    <w:rsid w:val="00FC2F94"/>
    <w:rsid w:val="00FC3031"/>
    <w:rsid w:val="00FC3EA0"/>
    <w:rsid w:val="00FC3FF1"/>
    <w:rsid w:val="00FC41F6"/>
    <w:rsid w:val="00FC4688"/>
    <w:rsid w:val="00FC4791"/>
    <w:rsid w:val="00FC4E7D"/>
    <w:rsid w:val="00FC5031"/>
    <w:rsid w:val="00FC5058"/>
    <w:rsid w:val="00FC5691"/>
    <w:rsid w:val="00FC56A7"/>
    <w:rsid w:val="00FC58F2"/>
    <w:rsid w:val="00FC5B22"/>
    <w:rsid w:val="00FC5BF8"/>
    <w:rsid w:val="00FC61AD"/>
    <w:rsid w:val="00FC61DE"/>
    <w:rsid w:val="00FC6823"/>
    <w:rsid w:val="00FC707F"/>
    <w:rsid w:val="00FC7686"/>
    <w:rsid w:val="00FC76DA"/>
    <w:rsid w:val="00FC79F7"/>
    <w:rsid w:val="00FC7C09"/>
    <w:rsid w:val="00FD056F"/>
    <w:rsid w:val="00FD05D9"/>
    <w:rsid w:val="00FD07D3"/>
    <w:rsid w:val="00FD0AA4"/>
    <w:rsid w:val="00FD0BBB"/>
    <w:rsid w:val="00FD0CEE"/>
    <w:rsid w:val="00FD121D"/>
    <w:rsid w:val="00FD1506"/>
    <w:rsid w:val="00FD163F"/>
    <w:rsid w:val="00FD180C"/>
    <w:rsid w:val="00FD1DAE"/>
    <w:rsid w:val="00FD2278"/>
    <w:rsid w:val="00FD24D0"/>
    <w:rsid w:val="00FD27E6"/>
    <w:rsid w:val="00FD2F00"/>
    <w:rsid w:val="00FD2FF2"/>
    <w:rsid w:val="00FD3179"/>
    <w:rsid w:val="00FD35DF"/>
    <w:rsid w:val="00FD42FD"/>
    <w:rsid w:val="00FD49BE"/>
    <w:rsid w:val="00FD51B7"/>
    <w:rsid w:val="00FD5AF6"/>
    <w:rsid w:val="00FD65BA"/>
    <w:rsid w:val="00FD68CD"/>
    <w:rsid w:val="00FD6BC0"/>
    <w:rsid w:val="00FD6D59"/>
    <w:rsid w:val="00FD7002"/>
    <w:rsid w:val="00FD7710"/>
    <w:rsid w:val="00FD7C3D"/>
    <w:rsid w:val="00FE0C4F"/>
    <w:rsid w:val="00FE1481"/>
    <w:rsid w:val="00FE197B"/>
    <w:rsid w:val="00FE1A47"/>
    <w:rsid w:val="00FE1B24"/>
    <w:rsid w:val="00FE2E9A"/>
    <w:rsid w:val="00FE3171"/>
    <w:rsid w:val="00FE34E4"/>
    <w:rsid w:val="00FE3BAD"/>
    <w:rsid w:val="00FE3E59"/>
    <w:rsid w:val="00FE4081"/>
    <w:rsid w:val="00FE42CB"/>
    <w:rsid w:val="00FE4372"/>
    <w:rsid w:val="00FE4BB6"/>
    <w:rsid w:val="00FE4D0B"/>
    <w:rsid w:val="00FE4DBA"/>
    <w:rsid w:val="00FE4F9B"/>
    <w:rsid w:val="00FE5345"/>
    <w:rsid w:val="00FE553F"/>
    <w:rsid w:val="00FE5AE8"/>
    <w:rsid w:val="00FE5E9F"/>
    <w:rsid w:val="00FE5F9F"/>
    <w:rsid w:val="00FE7273"/>
    <w:rsid w:val="00FE7391"/>
    <w:rsid w:val="00FE7DB8"/>
    <w:rsid w:val="00FF0208"/>
    <w:rsid w:val="00FF04B9"/>
    <w:rsid w:val="00FF09A2"/>
    <w:rsid w:val="00FF0BD5"/>
    <w:rsid w:val="00FF1609"/>
    <w:rsid w:val="00FF160F"/>
    <w:rsid w:val="00FF24DE"/>
    <w:rsid w:val="00FF2B8E"/>
    <w:rsid w:val="00FF3506"/>
    <w:rsid w:val="00FF37E1"/>
    <w:rsid w:val="00FF39C1"/>
    <w:rsid w:val="00FF3D2E"/>
    <w:rsid w:val="00FF44DB"/>
    <w:rsid w:val="00FF4DB4"/>
    <w:rsid w:val="00FF503F"/>
    <w:rsid w:val="00FF5104"/>
    <w:rsid w:val="00FF596C"/>
    <w:rsid w:val="00FF5A1A"/>
    <w:rsid w:val="00FF5BBD"/>
    <w:rsid w:val="00FF5C98"/>
    <w:rsid w:val="00FF5F73"/>
    <w:rsid w:val="00FF624B"/>
    <w:rsid w:val="00FF69CA"/>
    <w:rsid w:val="00FF6B98"/>
    <w:rsid w:val="00FF7623"/>
    <w:rsid w:val="00FF7B3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691EF"/>
  <w15:docId w15:val="{3D98A53F-5F61-4B62-A335-99F32B0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G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CA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46B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E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7EF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7EF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7EF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7EF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7EF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7E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7E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7EF0"/>
    <w:rPr>
      <w:caps/>
      <w:spacing w:val="15"/>
      <w:shd w:val="clear" w:color="auto" w:fill="DBE5F1" w:themeFill="accent1" w:themeFillTint="33"/>
    </w:rPr>
  </w:style>
  <w:style w:type="paragraph" w:styleId="Prrafodelista">
    <w:name w:val="List Paragraph"/>
    <w:basedOn w:val="Normal"/>
    <w:uiPriority w:val="34"/>
    <w:qFormat/>
    <w:rsid w:val="00E97769"/>
    <w:pPr>
      <w:ind w:left="720"/>
      <w:contextualSpacing/>
    </w:pPr>
  </w:style>
  <w:style w:type="paragraph" w:customStyle="1" w:styleId="Default">
    <w:name w:val="Default"/>
    <w:rsid w:val="00D4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8CD"/>
    <w:pPr>
      <w:spacing w:before="100" w:beforeAutospacing="1" w:after="100" w:afterAutospacing="1"/>
    </w:pPr>
    <w:rPr>
      <w:rFonts w:cs="Times New Roman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E1C"/>
    <w:rPr>
      <w:rFonts w:eastAsiaTheme="minorHAns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E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5E1C"/>
    <w:rPr>
      <w:vertAlign w:val="superscript"/>
    </w:rPr>
  </w:style>
  <w:style w:type="table" w:styleId="Cuadrculaclara-nfasis1">
    <w:name w:val="Light Grid Accent 1"/>
    <w:basedOn w:val="Tablanormal"/>
    <w:uiPriority w:val="62"/>
    <w:rsid w:val="000B5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0B5E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nespaciado">
    <w:name w:val="No Spacing"/>
    <w:link w:val="SinespaciadoCar"/>
    <w:uiPriority w:val="1"/>
    <w:qFormat/>
    <w:rsid w:val="00707E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B5E1C"/>
  </w:style>
  <w:style w:type="paragraph" w:styleId="Ttulo">
    <w:name w:val="Title"/>
    <w:basedOn w:val="Normal"/>
    <w:next w:val="Normal"/>
    <w:link w:val="TtuloCar"/>
    <w:uiPriority w:val="10"/>
    <w:qFormat/>
    <w:rsid w:val="00707EF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7EF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7EF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07EF0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D46B6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7EF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94050"/>
    <w:pPr>
      <w:tabs>
        <w:tab w:val="left" w:pos="440"/>
        <w:tab w:val="right" w:leader="dot" w:pos="9394"/>
      </w:tabs>
      <w:spacing w:after="100"/>
    </w:pPr>
    <w:rPr>
      <w:rFonts w:eastAsiaTheme="majorEastAsia" w:cs="Times New Roman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4409D"/>
    <w:pPr>
      <w:tabs>
        <w:tab w:val="left" w:pos="880"/>
        <w:tab w:val="right" w:leader="dot" w:pos="9356"/>
      </w:tabs>
      <w:spacing w:after="100"/>
      <w:ind w:left="709" w:hanging="567"/>
    </w:pPr>
  </w:style>
  <w:style w:type="character" w:styleId="Hipervnculo">
    <w:name w:val="Hyperlink"/>
    <w:basedOn w:val="Fuentedeprrafopredeter"/>
    <w:uiPriority w:val="99"/>
    <w:unhideWhenUsed/>
    <w:rsid w:val="003258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3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7EF0"/>
    <w:rPr>
      <w:caps/>
      <w:color w:val="243F60" w:themeColor="accent1" w:themeShade="7F"/>
      <w:spacing w:val="15"/>
    </w:rPr>
  </w:style>
  <w:style w:type="paragraph" w:customStyle="1" w:styleId="Ttulo11">
    <w:name w:val="Título 11"/>
    <w:basedOn w:val="Normal"/>
    <w:rsid w:val="000C0470"/>
    <w:pPr>
      <w:numPr>
        <w:numId w:val="23"/>
      </w:numPr>
    </w:pPr>
  </w:style>
  <w:style w:type="paragraph" w:customStyle="1" w:styleId="Ttulo21">
    <w:name w:val="Título 21"/>
    <w:basedOn w:val="Normal"/>
    <w:rsid w:val="000C0470"/>
    <w:pPr>
      <w:numPr>
        <w:ilvl w:val="1"/>
        <w:numId w:val="23"/>
      </w:numPr>
    </w:pPr>
  </w:style>
  <w:style w:type="paragraph" w:customStyle="1" w:styleId="Ttulo31">
    <w:name w:val="Título 31"/>
    <w:basedOn w:val="Normal"/>
    <w:rsid w:val="000C0470"/>
    <w:pPr>
      <w:numPr>
        <w:ilvl w:val="2"/>
        <w:numId w:val="23"/>
      </w:numPr>
    </w:pPr>
  </w:style>
  <w:style w:type="paragraph" w:customStyle="1" w:styleId="Ttulo41">
    <w:name w:val="Título 41"/>
    <w:basedOn w:val="Normal"/>
    <w:rsid w:val="000C0470"/>
    <w:pPr>
      <w:numPr>
        <w:ilvl w:val="3"/>
        <w:numId w:val="23"/>
      </w:numPr>
    </w:pPr>
  </w:style>
  <w:style w:type="paragraph" w:customStyle="1" w:styleId="Ttulo51">
    <w:name w:val="Título 51"/>
    <w:basedOn w:val="Normal"/>
    <w:rsid w:val="000C0470"/>
    <w:pPr>
      <w:numPr>
        <w:ilvl w:val="4"/>
        <w:numId w:val="23"/>
      </w:numPr>
    </w:pPr>
  </w:style>
  <w:style w:type="paragraph" w:customStyle="1" w:styleId="Ttulo61">
    <w:name w:val="Título 61"/>
    <w:basedOn w:val="Normal"/>
    <w:rsid w:val="000C0470"/>
    <w:pPr>
      <w:numPr>
        <w:ilvl w:val="5"/>
        <w:numId w:val="23"/>
      </w:numPr>
    </w:pPr>
  </w:style>
  <w:style w:type="paragraph" w:customStyle="1" w:styleId="Ttulo71">
    <w:name w:val="Título 71"/>
    <w:basedOn w:val="Normal"/>
    <w:rsid w:val="000C0470"/>
    <w:pPr>
      <w:numPr>
        <w:ilvl w:val="6"/>
        <w:numId w:val="23"/>
      </w:numPr>
    </w:pPr>
  </w:style>
  <w:style w:type="paragraph" w:customStyle="1" w:styleId="Ttulo81">
    <w:name w:val="Título 81"/>
    <w:basedOn w:val="Normal"/>
    <w:rsid w:val="000C0470"/>
    <w:pPr>
      <w:numPr>
        <w:ilvl w:val="7"/>
        <w:numId w:val="23"/>
      </w:numPr>
    </w:pPr>
  </w:style>
  <w:style w:type="paragraph" w:customStyle="1" w:styleId="Ttulo91">
    <w:name w:val="Título 91"/>
    <w:basedOn w:val="Normal"/>
    <w:rsid w:val="000C0470"/>
    <w:pPr>
      <w:numPr>
        <w:ilvl w:val="8"/>
        <w:numId w:val="23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54409D"/>
    <w:pPr>
      <w:tabs>
        <w:tab w:val="left" w:pos="1134"/>
        <w:tab w:val="right" w:leader="dot" w:pos="9394"/>
      </w:tabs>
      <w:spacing w:after="100"/>
      <w:ind w:left="1134" w:hanging="708"/>
    </w:pPr>
  </w:style>
  <w:style w:type="paragraph" w:customStyle="1" w:styleId="BodyText2Sgl">
    <w:name w:val="Body Text 2 Sgl"/>
    <w:basedOn w:val="Normal"/>
    <w:rsid w:val="00EE52DF"/>
    <w:pPr>
      <w:spacing w:after="240"/>
      <w:ind w:firstLine="720"/>
    </w:pPr>
    <w:rPr>
      <w:rFonts w:eastAsia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52DF"/>
    <w:pPr>
      <w:spacing w:line="259" w:lineRule="auto"/>
    </w:pPr>
    <w:rPr>
      <w:rFonts w:eastAsiaTheme="minorHAnsi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2DF"/>
  </w:style>
  <w:style w:type="character" w:styleId="Refdecomentario">
    <w:name w:val="annotation reference"/>
    <w:basedOn w:val="Fuentedeprrafopredeter"/>
    <w:uiPriority w:val="99"/>
    <w:semiHidden/>
    <w:unhideWhenUsed/>
    <w:rsid w:val="00082E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2E65"/>
  </w:style>
  <w:style w:type="character" w:customStyle="1" w:styleId="TextocomentarioCar">
    <w:name w:val="Texto comentario Car"/>
    <w:basedOn w:val="Fuentedeprrafopredeter"/>
    <w:link w:val="Textocomentario"/>
    <w:uiPriority w:val="99"/>
    <w:rsid w:val="00082E65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E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E65"/>
    <w:rPr>
      <w:rFonts w:eastAsiaTheme="minorEastAsia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54409D"/>
    <w:pPr>
      <w:spacing w:after="0" w:line="240" w:lineRule="auto"/>
    </w:pPr>
    <w:rPr>
      <w:sz w:val="24"/>
      <w:szCs w:val="24"/>
      <w:lang w:val="es-ES_tradnl" w:eastAsia="es-ES"/>
    </w:rPr>
  </w:style>
  <w:style w:type="table" w:styleId="Tablanormal3">
    <w:name w:val="Plain Table 3"/>
    <w:basedOn w:val="Tablanormal"/>
    <w:uiPriority w:val="43"/>
    <w:rsid w:val="00FD31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D31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0FEE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7EF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7EF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7EF0"/>
    <w:rPr>
      <w:b/>
      <w:bCs/>
      <w:color w:val="365F91" w:themeColor="accent1" w:themeShade="BF"/>
      <w:sz w:val="16"/>
      <w:szCs w:val="16"/>
    </w:rPr>
  </w:style>
  <w:style w:type="character" w:styleId="Textoennegrita">
    <w:name w:val="Strong"/>
    <w:uiPriority w:val="22"/>
    <w:qFormat/>
    <w:rsid w:val="00707EF0"/>
    <w:rPr>
      <w:b/>
      <w:bCs/>
    </w:rPr>
  </w:style>
  <w:style w:type="character" w:styleId="nfasis">
    <w:name w:val="Emphasis"/>
    <w:uiPriority w:val="20"/>
    <w:qFormat/>
    <w:rsid w:val="00707EF0"/>
    <w:rPr>
      <w:caps/>
      <w:color w:val="243F6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707EF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7EF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7EF0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7EF0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707EF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707EF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707EF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707EF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707EF0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chart" Target="charts/chart2.xml"/><Relationship Id="rId26" Type="http://schemas.openxmlformats.org/officeDocument/2006/relationships/chart" Target="charts/chart5.xml"/><Relationship Id="rId39" Type="http://schemas.openxmlformats.org/officeDocument/2006/relationships/diagramLayout" Target="diagrams/layout4.xml"/><Relationship Id="rId21" Type="http://schemas.openxmlformats.org/officeDocument/2006/relationships/diagramData" Target="diagrams/data2.xml"/><Relationship Id="rId34" Type="http://schemas.openxmlformats.org/officeDocument/2006/relationships/chart" Target="charts/chart8.xml"/><Relationship Id="rId42" Type="http://schemas.microsoft.com/office/2007/relationships/diagramDrawing" Target="diagrams/drawing4.xml"/><Relationship Id="rId47" Type="http://schemas.openxmlformats.org/officeDocument/2006/relationships/diagramColors" Target="diagrams/colors5.xm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openxmlformats.org/officeDocument/2006/relationships/diagramLayout" Target="diagrams/layout3.xml"/><Relationship Id="rId11" Type="http://schemas.openxmlformats.org/officeDocument/2006/relationships/image" Target="media/image3.png"/><Relationship Id="rId24" Type="http://schemas.openxmlformats.org/officeDocument/2006/relationships/diagramColors" Target="diagrams/colors2.xml"/><Relationship Id="rId32" Type="http://schemas.microsoft.com/office/2007/relationships/diagramDrawing" Target="diagrams/drawing3.xml"/><Relationship Id="rId37" Type="http://schemas.openxmlformats.org/officeDocument/2006/relationships/chart" Target="charts/chart11.xml"/><Relationship Id="rId40" Type="http://schemas.openxmlformats.org/officeDocument/2006/relationships/diagramQuickStyle" Target="diagrams/quickStyle4.xml"/><Relationship Id="rId45" Type="http://schemas.openxmlformats.org/officeDocument/2006/relationships/diagramLayout" Target="diagrams/layout5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31" Type="http://schemas.openxmlformats.org/officeDocument/2006/relationships/diagramColors" Target="diagrams/colors3.xml"/><Relationship Id="rId44" Type="http://schemas.openxmlformats.org/officeDocument/2006/relationships/diagramData" Target="diagrams/data5.xm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diagramLayout" Target="diagrams/layout2.xml"/><Relationship Id="rId27" Type="http://schemas.openxmlformats.org/officeDocument/2006/relationships/chart" Target="charts/chart6.xml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9.xml"/><Relationship Id="rId43" Type="http://schemas.openxmlformats.org/officeDocument/2006/relationships/chart" Target="charts/chart12.xml"/><Relationship Id="rId48" Type="http://schemas.microsoft.com/office/2007/relationships/diagramDrawing" Target="diagrams/drawing5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microsoft.com/office/2007/relationships/diagramDrawing" Target="diagrams/drawing2.xml"/><Relationship Id="rId33" Type="http://schemas.openxmlformats.org/officeDocument/2006/relationships/chart" Target="charts/chart7.xml"/><Relationship Id="rId38" Type="http://schemas.openxmlformats.org/officeDocument/2006/relationships/diagramData" Target="diagrams/data4.xml"/><Relationship Id="rId46" Type="http://schemas.openxmlformats.org/officeDocument/2006/relationships/diagramQuickStyle" Target="diagrams/quickStyle5.xml"/><Relationship Id="rId20" Type="http://schemas.openxmlformats.org/officeDocument/2006/relationships/chart" Target="charts/chart4.xml"/><Relationship Id="rId41" Type="http://schemas.openxmlformats.org/officeDocument/2006/relationships/diagramColors" Target="diagrams/colors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QuickStyle" Target="diagrams/quickStyle2.xml"/><Relationship Id="rId28" Type="http://schemas.openxmlformats.org/officeDocument/2006/relationships/diagramData" Target="diagrams/data3.xml"/><Relationship Id="rId36" Type="http://schemas.openxmlformats.org/officeDocument/2006/relationships/chart" Target="charts/chart10.xm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2.xml"/><Relationship Id="rId1" Type="http://schemas.microsoft.com/office/2011/relationships/chartStyle" Target="style12.xml"/><Relationship Id="rId5" Type="http://schemas.openxmlformats.org/officeDocument/2006/relationships/chartUserShapes" Target="../drawings/drawing10.xml"/><Relationship Id="rId4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/>
              <a:t>Ingresos</a:t>
            </a:r>
            <a:r>
              <a:rPr lang="es-GT" sz="1200" baseline="0"/>
              <a:t> Totales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100" baseline="0"/>
              <a:t>Variación interanual acumulada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000" b="0" baseline="0"/>
              <a:t>En porcentajes</a:t>
            </a:r>
            <a:endParaRPr lang="es-GT" sz="1000" b="0"/>
          </a:p>
        </c:rich>
      </c:tx>
      <c:layout>
        <c:manualLayout>
          <c:xMode val="edge"/>
          <c:yMode val="edge"/>
          <c:x val="0.32807483895608763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5.0673161848705683E-2"/>
          <c:y val="0.14934369581591611"/>
          <c:w val="1"/>
          <c:h val="0.623940767134258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Hoja1!$D$1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4902282407423296E-3"/>
                  <c:y val="-2.0356252685114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8E-4F11-B795-3C8DE4243CFB}"/>
                </c:ext>
              </c:extLst>
            </c:dLbl>
            <c:dLbl>
              <c:idx val="1"/>
              <c:layout>
                <c:manualLayout>
                  <c:x val="0"/>
                  <c:y val="-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69-4070-A5FD-52761F3A437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0952BE-0E47-4080-9730-962434246B8C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DA-4CEC-AFDB-4DA9C5CBDAE3}"/>
                </c:ext>
              </c:extLst>
            </c:dLbl>
            <c:dLbl>
              <c:idx val="3"/>
              <c:layout>
                <c:manualLayout>
                  <c:x val="-4.5024763619991824E-3"/>
                  <c:y val="-9.329832848625337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DA-4CEC-AFDB-4DA9C5CBDAE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595BC7-DCA9-479A-871E-3B938E48F3A0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7DA-4CEC-AFDB-4DA9C5CBDAE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DDCDE80-5BE7-4E7D-88FF-C833BCB9D083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DA-4CEC-AFDB-4DA9C5CBDAE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D891769-A5A5-4BD0-9B1C-58547D5E3D03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7DA-4CEC-AFDB-4DA9C5CBDAE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55D93F5-CB79-4C89-BF5E-9AF4FE653A6C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DA-4CEC-AFDB-4DA9C5CBDAE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A49661DA-D522-4D0D-AEC4-E447451C9457}" type="VALUE">
                      <a:rPr lang="en-US" sz="7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7DA-4CEC-AFDB-4DA9C5CBDAE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#,##0.0_ ;[Red]\-#,##0.0\ </c:formatCode>
                <c:ptCount val="12"/>
                <c:pt idx="0">
                  <c:v>9.729196122948224</c:v>
                </c:pt>
                <c:pt idx="1">
                  <c:v>9.4372146261204151</c:v>
                </c:pt>
                <c:pt idx="2">
                  <c:v>-1.0399293567172507</c:v>
                </c:pt>
                <c:pt idx="3">
                  <c:v>0.81399770716259479</c:v>
                </c:pt>
                <c:pt idx="4">
                  <c:v>-3.5777316849951557</c:v>
                </c:pt>
                <c:pt idx="5">
                  <c:v>-5.1607801650164875</c:v>
                </c:pt>
                <c:pt idx="6">
                  <c:v>-6.3123724570101736</c:v>
                </c:pt>
                <c:pt idx="7">
                  <c:v>-6.7029520930199871</c:v>
                </c:pt>
                <c:pt idx="8">
                  <c:v>-6.197624436883153</c:v>
                </c:pt>
                <c:pt idx="9">
                  <c:v>-4.7057203464389357</c:v>
                </c:pt>
                <c:pt idx="10">
                  <c:v>-4.0394772514787185</c:v>
                </c:pt>
                <c:pt idx="11">
                  <c:v>-3.4796299178131318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9-4984-901D-E1114F265272}"/>
            </c:ext>
          </c:extLst>
        </c:ser>
        <c:ser>
          <c:idx val="1"/>
          <c:order val="2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9.00495272399819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DA-4CEC-AFDB-4DA9C5CBDAE3}"/>
                </c:ext>
              </c:extLst>
            </c:dLbl>
            <c:dLbl>
              <c:idx val="1"/>
              <c:layout>
                <c:manualLayout>
                  <c:x val="7.1827801516148523E-3"/>
                  <c:y val="1.167204994007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8E-4F11-B795-3C8DE4243CFB}"/>
                </c:ext>
              </c:extLst>
            </c:dLbl>
            <c:dLbl>
              <c:idx val="2"/>
              <c:layout>
                <c:manualLayout>
                  <c:x val="2.1654395842355999E-3"/>
                  <c:y val="-2.3449623541582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DA-4CEC-AFDB-4DA9C5CBDAE3}"/>
                </c:ext>
              </c:extLst>
            </c:dLbl>
            <c:dLbl>
              <c:idx val="3"/>
              <c:layout>
                <c:manualLayout>
                  <c:x val="3.9699267101664765E-17"/>
                  <c:y val="-7.234428310926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8E-4F11-B795-3C8DE4243CFB}"/>
                </c:ext>
              </c:extLst>
            </c:dLbl>
            <c:dLbl>
              <c:idx val="4"/>
              <c:layout>
                <c:manualLayout>
                  <c:x val="0"/>
                  <c:y val="-2.6542800265428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4A-4036-9CA9-4FEE2D543697}"/>
                </c:ext>
              </c:extLst>
            </c:dLbl>
            <c:dLbl>
              <c:idx val="5"/>
              <c:layout>
                <c:manualLayout>
                  <c:x val="0"/>
                  <c:y val="-6.6357000663570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4A-4036-9CA9-4FEE2D543697}"/>
                </c:ext>
              </c:extLst>
            </c:dLbl>
            <c:dLbl>
              <c:idx val="6"/>
              <c:layout>
                <c:manualLayout>
                  <c:x val="0"/>
                  <c:y val="1.3271400132714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56-43FC-A646-87823658FB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#,##0.0_ ;[Red]\-#,##0.0\ </c:formatCode>
                <c:ptCount val="12"/>
                <c:pt idx="0">
                  <c:v>3.6987296928347346</c:v>
                </c:pt>
                <c:pt idx="1">
                  <c:v>4.6530221901670998</c:v>
                </c:pt>
                <c:pt idx="2">
                  <c:v>17.088951853922918</c:v>
                </c:pt>
                <c:pt idx="3">
                  <c:v>17.153265606248326</c:v>
                </c:pt>
                <c:pt idx="4">
                  <c:v>21.201496846959511</c:v>
                </c:pt>
                <c:pt idx="5">
                  <c:v>23.49049257271183</c:v>
                </c:pt>
                <c:pt idx="6">
                  <c:v>25.889124214039505</c:v>
                </c:pt>
                <c:pt idx="7">
                  <c:v>26.164193117801005</c:v>
                </c:pt>
                <c:pt idx="8">
                  <c:v>25.553496761477156</c:v>
                </c:pt>
                <c:pt idx="9">
                  <c:v>24.240846464687181</c:v>
                </c:pt>
                <c:pt idx="10">
                  <c:v>23.651391941682085</c:v>
                </c:pt>
                <c:pt idx="11">
                  <c:v>24.616959509569547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9-4984-901D-E1114F26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281743"/>
        <c:axId val="344873055"/>
      </c:barChar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ln w="25400" cap="rnd">
              <a:solidFill>
                <a:srgbClr val="002060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7"/>
            <c:spPr>
              <a:solidFill>
                <a:srgbClr val="9BBB59">
                  <a:lumMod val="50000"/>
                </a:srgbClr>
              </a:solidFill>
              <a:ln w="15875">
                <a:solidFill>
                  <a:srgbClr val="002060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7961724576545733E-2"/>
                  <c:y val="-5.4841902217491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8F-4D19-9CDB-2A18BD344173}"/>
                </c:ext>
              </c:extLst>
            </c:dLbl>
            <c:dLbl>
              <c:idx val="1"/>
              <c:layout>
                <c:manualLayout>
                  <c:x val="-2.967982185423013E-2"/>
                  <c:y val="-6.451162987086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8F-4D19-9CDB-2A18BD344173}"/>
                </c:ext>
              </c:extLst>
            </c:dLbl>
            <c:spPr>
              <a:solidFill>
                <a:srgbClr val="1F497D">
                  <a:lumMod val="75000"/>
                </a:srgb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#,##0.0_ ;[Red]\-#,##0.0\ </c:formatCode>
                <c:ptCount val="12"/>
                <c:pt idx="0">
                  <c:v>9.4093528865486284</c:v>
                </c:pt>
                <c:pt idx="1">
                  <c:v>9.8945584844013279</c:v>
                </c:pt>
                <c:pt idx="2">
                  <c:v>13.104630732546863</c:v>
                </c:pt>
                <c:pt idx="3">
                  <c:v>13.569500524085765</c:v>
                </c:pt>
                <c:pt idx="4">
                  <c:v>13.885975987042309</c:v>
                </c:pt>
                <c:pt idx="5">
                  <c:v>14.387290324558744</c:v>
                </c:pt>
                <c:pt idx="6">
                  <c:v>14.168088105893073</c:v>
                </c:pt>
                <c:pt idx="7">
                  <c:v>14.29323131437965</c:v>
                </c:pt>
                <c:pt idx="8">
                  <c:v>14.25926972311462</c:v>
                </c:pt>
                <c:pt idx="9">
                  <c:v>13.781658955634501</c:v>
                </c:pt>
                <c:pt idx="10">
                  <c:v>13.439616656302157</c:v>
                </c:pt>
                <c:pt idx="11">
                  <c:v>11.707362999266868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E2D9-4984-901D-E1114F26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88150460328077473"/>
          <c:w val="0.12798600478101779"/>
          <c:h val="0.10332262863565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/>
              <a:t>Flujo</a:t>
            </a:r>
            <a:r>
              <a:rPr lang="es-GT" baseline="0"/>
              <a:t> mensual  </a:t>
            </a:r>
          </a:p>
        </c:rich>
      </c:tx>
      <c:layout>
        <c:manualLayout>
          <c:xMode val="edge"/>
          <c:yMode val="edge"/>
          <c:x val="0.381879044856059"/>
          <c:y val="3.682551890094241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1162374305930002"/>
          <c:w val="0.97198739067860607"/>
          <c:h val="0.59969417701511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Adquicición neta de activos financieros</c:v>
                </c:pt>
              </c:strCache>
            </c:strRef>
          </c:tx>
          <c:spPr>
            <a:solidFill>
              <a:srgbClr val="D99694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86B5-48AC-A799-674E4424E624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86B5-48AC-A799-674E4424E624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86B5-48AC-A799-674E4424E624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6B5-48AC-A799-674E4424E624}"/>
              </c:ext>
            </c:extLst>
          </c:dPt>
          <c:dLbls>
            <c:dLbl>
              <c:idx val="0"/>
              <c:layout>
                <c:manualLayout>
                  <c:x val="0"/>
                  <c:y val="1.526135062953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B5-48AC-A799-674E4424E62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B5-48AC-A799-674E4424E62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B5-48AC-A799-674E4424E624}"/>
                </c:ext>
              </c:extLst>
            </c:dLbl>
            <c:dLbl>
              <c:idx val="3"/>
              <c:layout>
                <c:manualLayout>
                  <c:x val="0"/>
                  <c:y val="-2.7935674271766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B5-48AC-A799-674E4424E62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B5-48AC-A799-674E4424E624}"/>
                </c:ext>
              </c:extLst>
            </c:dLbl>
            <c:dLbl>
              <c:idx val="5"/>
              <c:layout>
                <c:manualLayout>
                  <c:x val="0"/>
                  <c:y val="2.5062666957535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B5-48AC-A799-674E4424E624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B5-48AC-A799-674E4424E624}"/>
                </c:ext>
              </c:extLst>
            </c:dLbl>
            <c:dLbl>
              <c:idx val="7"/>
              <c:layout>
                <c:manualLayout>
                  <c:x val="-7.0471349404377432E-17"/>
                  <c:y val="-1.3532903534675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B5-48AC-A799-674E4424E624}"/>
                </c:ext>
              </c:extLst>
            </c:dLbl>
            <c:dLbl>
              <c:idx val="8"/>
              <c:layout>
                <c:manualLayout>
                  <c:x val="4.4632033911386681E-3"/>
                  <c:y val="2.0484409632952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B5-48AC-A799-674E4424E624}"/>
                </c:ext>
              </c:extLst>
            </c:dLbl>
            <c:dLbl>
              <c:idx val="9"/>
              <c:layout>
                <c:manualLayout>
                  <c:x val="0"/>
                  <c:y val="1.41813668640257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B5-48AC-A799-674E4424E624}"/>
                </c:ext>
              </c:extLst>
            </c:dLbl>
            <c:dLbl>
              <c:idx val="10"/>
              <c:layout>
                <c:manualLayout>
                  <c:x val="0"/>
                  <c:y val="1.5261350629530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B5-48AC-A799-674E4424E624}"/>
                </c:ext>
              </c:extLst>
            </c:dLbl>
            <c:dLbl>
              <c:idx val="11"/>
              <c:layout>
                <c:manualLayout>
                  <c:x val="-7.68787238131847E-3"/>
                  <c:y val="1.196868807068121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B5-48AC-A799-674E4424E624}"/>
                </c:ext>
              </c:extLst>
            </c:dLbl>
            <c:dLbl>
              <c:idx val="12"/>
              <c:layout>
                <c:manualLayout>
                  <c:x val="-3.8439361906592376E-3"/>
                  <c:y val="5.1718542489993221E-3"/>
                </c:manualLayout>
              </c:layout>
              <c:numFmt formatCode="[Red]#,##0.0_ ;\-#,##0.0\ 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0839900057659"/>
                      <c:h val="5.78778135048231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6B5-48AC-A799-674E4424E624}"/>
                </c:ext>
              </c:extLst>
            </c:dLbl>
            <c:numFmt formatCode="[Red]#,##0.0_ ;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Hoja1!$B$1:$N$1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</c:strCache>
            </c:strRef>
          </c:cat>
          <c:val>
            <c:numRef>
              <c:f>Hoja1!$B$2:$N$2</c:f>
              <c:numCache>
                <c:formatCode>#,##0.00</c:formatCode>
                <c:ptCount val="13"/>
                <c:pt idx="0">
                  <c:v>-298.69739500000003</c:v>
                </c:pt>
                <c:pt idx="1">
                  <c:v>-286.8147947299999</c:v>
                </c:pt>
                <c:pt idx="2">
                  <c:v>2941.9926767899997</c:v>
                </c:pt>
                <c:pt idx="3">
                  <c:v>-170.49320458000014</c:v>
                </c:pt>
                <c:pt idx="4">
                  <c:v>675.10684746000004</c:v>
                </c:pt>
                <c:pt idx="5">
                  <c:v>-4040.9026572999987</c:v>
                </c:pt>
                <c:pt idx="6">
                  <c:v>3671.2489992499995</c:v>
                </c:pt>
                <c:pt idx="7">
                  <c:v>5717.9163087599991</c:v>
                </c:pt>
                <c:pt idx="8">
                  <c:v>-104.43940978999998</c:v>
                </c:pt>
                <c:pt idx="9">
                  <c:v>-375.62009919000002</c:v>
                </c:pt>
                <c:pt idx="10">
                  <c:v>24.616053439999995</c:v>
                </c:pt>
                <c:pt idx="11">
                  <c:v>-244.38945103000003</c:v>
                </c:pt>
                <c:pt idx="12">
                  <c:v>7509.5238740799987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BBB59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E-86B5-48AC-A799-674E4424E6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3"/>
        <c:overlap val="7"/>
        <c:axId val="152970912"/>
        <c:axId val="152969984"/>
      </c:barChart>
      <c:catAx>
        <c:axId val="1529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69984"/>
        <c:crosses val="autoZero"/>
        <c:auto val="1"/>
        <c:lblAlgn val="ctr"/>
        <c:lblOffset val="100"/>
        <c:noMultiLvlLbl val="0"/>
      </c:catAx>
      <c:valAx>
        <c:axId val="152969984"/>
        <c:scaling>
          <c:orientation val="minMax"/>
        </c:scaling>
        <c:delete val="1"/>
        <c:axPos val="l"/>
        <c:numFmt formatCode="#,##0_ ;[Red]\-#,##0\ " sourceLinked="0"/>
        <c:majorTickMark val="out"/>
        <c:minorTickMark val="none"/>
        <c:tickLblPos val="nextTo"/>
        <c:crossAx val="152970912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1">
                <a:solidFill>
                  <a:schemeClr val="tx1"/>
                </a:solidFill>
              </a:rPr>
              <a:t>Por tipo de intrumento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n-US" sz="900" b="1">
                <a:solidFill>
                  <a:schemeClr val="tx1"/>
                </a:solidFill>
              </a:rPr>
              <a:t>Cifra acumulada</a:t>
            </a:r>
          </a:p>
        </c:rich>
      </c:tx>
      <c:layout>
        <c:manualLayout>
          <c:xMode val="edge"/>
          <c:yMode val="edge"/>
          <c:x val="0.24247808794645748"/>
          <c:y val="4.453592907185814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38159896451299752"/>
          <c:y val="0.19398968496750502"/>
          <c:w val="0.49374350124042704"/>
          <c:h val="0.70011036022072048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953735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0"/>
            <c:invertIfNegative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561-4004-9F39-C4307818C6BC}"/>
              </c:ext>
            </c:extLst>
          </c:dPt>
          <c:dPt>
            <c:idx val="1"/>
            <c:invertIfNegative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561-4004-9F39-C4307818C6BC}"/>
              </c:ext>
            </c:extLst>
          </c:dPt>
          <c:dPt>
            <c:idx val="2"/>
            <c:invertIfNegative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561-4004-9F39-C4307818C6BC}"/>
              </c:ext>
            </c:extLst>
          </c:dPt>
          <c:dLbls>
            <c:dLbl>
              <c:idx val="0"/>
              <c:layout>
                <c:manualLayout>
                  <c:x val="-1.0045546053451392E-1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61-4004-9F39-C4307818C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Títulos de deuda</c:v>
                </c:pt>
                <c:pt idx="1">
                  <c:v>Préstamos</c:v>
                </c:pt>
                <c:pt idx="2">
                  <c:v>Otras cuentas por pagar</c:v>
                </c:pt>
              </c:strCache>
            </c:strRef>
          </c:cat>
          <c:val>
            <c:numRef>
              <c:f>Hoja1!$B$2:$B$4</c:f>
              <c:numCache>
                <c:formatCode>#,##0.0_ ;[Red]\-#,##0.0\ </c:formatCode>
                <c:ptCount val="3"/>
                <c:pt idx="0">
                  <c:v>5520.0038433400005</c:v>
                </c:pt>
                <c:pt idx="1">
                  <c:v>1511.1093506099996</c:v>
                </c:pt>
                <c:pt idx="2">
                  <c:v>478.41068012999995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C00000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6-6561-4004-9F39-C4307818C6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9"/>
        <c:overlap val="-48"/>
        <c:axId val="152972768"/>
        <c:axId val="152984368"/>
      </c:barChart>
      <c:catAx>
        <c:axId val="15297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8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84368"/>
        <c:crosses val="autoZero"/>
        <c:auto val="1"/>
        <c:lblAlgn val="ctr"/>
        <c:lblOffset val="100"/>
        <c:noMultiLvlLbl val="0"/>
      </c:catAx>
      <c:valAx>
        <c:axId val="152984368"/>
        <c:scaling>
          <c:orientation val="minMax"/>
          <c:min val="-2000"/>
        </c:scaling>
        <c:delete val="0"/>
        <c:axPos val="b"/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7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 b="1" i="0" baseline="0">
                <a:effectLst/>
              </a:rPr>
              <a:t>Erogaciones por Función de Gobierno</a:t>
            </a:r>
            <a:endParaRPr lang="es-GT" sz="1200">
              <a:effectLst/>
            </a:endParaRP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1100" b="1" i="0" baseline="0">
                <a:effectLst/>
              </a:rPr>
              <a:t>Variaciones interanuales acumuladas a diciembre de cada año </a:t>
            </a:r>
            <a:endParaRPr lang="es-GT" sz="1100">
              <a:effectLst/>
            </a:endParaRP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156009476452935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32780253795046432"/>
          <c:y val="0.1320669678730417"/>
          <c:w val="0.68935531496062996"/>
          <c:h val="0.794488188976378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Asuntos económicos </c:v>
                </c:pt>
                <c:pt idx="1">
                  <c:v>Protección social </c:v>
                </c:pt>
                <c:pt idx="2">
                  <c:v>Educación </c:v>
                </c:pt>
                <c:pt idx="3">
                  <c:v>Servicios públicos generales </c:v>
                </c:pt>
                <c:pt idx="4">
                  <c:v>Salud </c:v>
                </c:pt>
                <c:pt idx="5">
                  <c:v>Orden público y seguridad </c:v>
                </c:pt>
                <c:pt idx="6">
                  <c:v>Defensa </c:v>
                </c:pt>
                <c:pt idx="7">
                  <c:v>Actividades recreativas, cultura y religión </c:v>
                </c:pt>
                <c:pt idx="8">
                  <c:v>Protección del medio ambiente </c:v>
                </c:pt>
                <c:pt idx="9">
                  <c:v>Vivienda y servicios comunitarios </c:v>
                </c:pt>
              </c:strCache>
            </c:strRef>
          </c:cat>
          <c:val>
            <c:numRef>
              <c:f>Hoja1!$B$2:$B$11</c:f>
              <c:numCache>
                <c:formatCode>_(* #,##0.00_);_(* \(#,##0.00\);_(* "-"??_);_(@_)</c:formatCode>
                <c:ptCount val="10"/>
                <c:pt idx="0">
                  <c:v>5166.5475089200008</c:v>
                </c:pt>
                <c:pt idx="1">
                  <c:v>2639.5988214200006</c:v>
                </c:pt>
                <c:pt idx="2">
                  <c:v>2527.5325902200057</c:v>
                </c:pt>
                <c:pt idx="3">
                  <c:v>1837.1505848599991</c:v>
                </c:pt>
                <c:pt idx="4">
                  <c:v>1346.3221284399988</c:v>
                </c:pt>
                <c:pt idx="5">
                  <c:v>1201.2959192899998</c:v>
                </c:pt>
                <c:pt idx="6">
                  <c:v>555.96960933000037</c:v>
                </c:pt>
                <c:pt idx="7">
                  <c:v>277.59309124999982</c:v>
                </c:pt>
                <c:pt idx="8">
                  <c:v>233.84573613000066</c:v>
                </c:pt>
                <c:pt idx="9">
                  <c:v>233.28984655000113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54-4E08-A47A-DB0E13A836B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5.9040590405905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8F-40C9-B060-4C15B577514B}"/>
                </c:ext>
              </c:extLst>
            </c:dLbl>
            <c:dLbl>
              <c:idx val="1"/>
              <c:layout>
                <c:manualLayout>
                  <c:x val="0"/>
                  <c:y val="-5.9040590405905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54-4E08-A47A-DB0E13A836B8}"/>
                </c:ext>
              </c:extLst>
            </c:dLbl>
            <c:dLbl>
              <c:idx val="7"/>
              <c:layout>
                <c:manualLayout>
                  <c:x val="-7.846403401476049E-17"/>
                  <c:y val="-6.4308681672026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10-4CE9-ACCA-F53BCBE4858D}"/>
                </c:ext>
              </c:extLst>
            </c:dLbl>
            <c:dLbl>
              <c:idx val="9"/>
              <c:layout>
                <c:manualLayout>
                  <c:x val="0"/>
                  <c:y val="-1.240238860817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10-4CE9-ACCA-F53BCBE4858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2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Asuntos económicos </c:v>
                </c:pt>
                <c:pt idx="1">
                  <c:v>Protección social </c:v>
                </c:pt>
                <c:pt idx="2">
                  <c:v>Educación </c:v>
                </c:pt>
                <c:pt idx="3">
                  <c:v>Servicios públicos generales </c:v>
                </c:pt>
                <c:pt idx="4">
                  <c:v>Salud </c:v>
                </c:pt>
                <c:pt idx="5">
                  <c:v>Orden público y seguridad </c:v>
                </c:pt>
                <c:pt idx="6">
                  <c:v>Defensa </c:v>
                </c:pt>
                <c:pt idx="7">
                  <c:v>Actividades recreativas, cultura y religión </c:v>
                </c:pt>
                <c:pt idx="8">
                  <c:v>Protección del medio ambiente </c:v>
                </c:pt>
                <c:pt idx="9">
                  <c:v>Vivienda y servicios comunitarios </c:v>
                </c:pt>
              </c:strCache>
            </c:strRef>
          </c:cat>
          <c:val>
            <c:numRef>
              <c:f>Hoja1!$C$2:$C$11</c:f>
              <c:numCache>
                <c:formatCode>_(* #,##0.00_);_(* \(#,##0.00\);_(* "-"??_);_(@_)</c:formatCode>
                <c:ptCount val="10"/>
                <c:pt idx="0">
                  <c:v>2353.7291447799998</c:v>
                </c:pt>
                <c:pt idx="1">
                  <c:v>-7618.5438627699987</c:v>
                </c:pt>
                <c:pt idx="2">
                  <c:v>1316.9790527099976</c:v>
                </c:pt>
                <c:pt idx="3">
                  <c:v>1609.620683860001</c:v>
                </c:pt>
                <c:pt idx="4">
                  <c:v>3007.7561133500003</c:v>
                </c:pt>
                <c:pt idx="5">
                  <c:v>1407.3623701999986</c:v>
                </c:pt>
                <c:pt idx="6">
                  <c:v>105.2934557399999</c:v>
                </c:pt>
                <c:pt idx="7">
                  <c:v>354.16914400999985</c:v>
                </c:pt>
                <c:pt idx="8">
                  <c:v>271.46570674999975</c:v>
                </c:pt>
                <c:pt idx="9">
                  <c:v>1177.5963217399994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54-4E08-A47A-DB0E13A83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170388288"/>
        <c:axId val="1181658512"/>
      </c:barChart>
      <c:catAx>
        <c:axId val="117038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81658512"/>
        <c:crosses val="autoZero"/>
        <c:auto val="1"/>
        <c:lblAlgn val="ctr"/>
        <c:lblOffset val="100"/>
        <c:noMultiLvlLbl val="0"/>
      </c:catAx>
      <c:valAx>
        <c:axId val="1181658512"/>
        <c:scaling>
          <c:orientation val="minMax"/>
          <c:max val="8000"/>
          <c:min val="-10000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703882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913631837107452"/>
          <c:y val="0.15522068043381371"/>
          <c:w val="9.2958543888412404E-2"/>
          <c:h val="6.1045075025999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Ingresos Totales por clasificación MEFP</a:t>
            </a:r>
          </a:p>
          <a:p>
            <a:pPr>
              <a:defRPr/>
            </a:pPr>
            <a:r>
              <a:rPr lang="en-US" sz="1100" b="1">
                <a:solidFill>
                  <a:sysClr val="windowText" lastClr="000000"/>
                </a:solidFill>
              </a:rPr>
              <a:t>Variación interanual acumulada a diciembre</a:t>
            </a:r>
            <a:r>
              <a:rPr lang="en-US" sz="1100" b="1" baseline="0">
                <a:solidFill>
                  <a:sysClr val="windowText" lastClr="000000"/>
                </a:solidFill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2022*</a:t>
            </a:r>
          </a:p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</a:rPr>
              <a:t>En millones de Quetzales</a:t>
            </a:r>
          </a:p>
        </c:rich>
      </c:tx>
      <c:layout>
        <c:manualLayout>
          <c:xMode val="edge"/>
          <c:yMode val="edge"/>
          <c:x val="0.2625413209992732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4.0408336877924285E-2"/>
          <c:y val="0.29378602427171852"/>
          <c:w val="0.94778901254952663"/>
          <c:h val="0.57796990722694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Diferencia acumulada en Q</c:v>
                </c:pt>
              </c:strCache>
            </c:strRef>
          </c:tx>
          <c:spPr>
            <a:solidFill>
              <a:srgbClr val="4F6228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0"/>
            <c:invertIfNegative val="1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A6-4C68-88CD-2C6CC3BED14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A6-4C68-88CD-2C6CC3BED143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A6-4C68-88CD-2C6CC3BED143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7A6-4C68-88CD-2C6CC3BED1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Impuestos </c:v>
                </c:pt>
                <c:pt idx="1">
                  <c:v>Contribuciones sociales </c:v>
                </c:pt>
                <c:pt idx="2">
                  <c:v>Otros ingresos </c:v>
                </c:pt>
                <c:pt idx="3">
                  <c:v>Donaciones </c:v>
                </c:pt>
                <c:pt idx="4">
                  <c:v>Ingresos Totales</c:v>
                </c:pt>
              </c:strCache>
            </c:strRef>
          </c:cat>
          <c:val>
            <c:numRef>
              <c:f>Hoja1!$B$2:$B$6</c:f>
              <c:numCache>
                <c:formatCode>#,##0.0_ ;[Red]\-#,##0.0\ </c:formatCode>
                <c:ptCount val="5"/>
                <c:pt idx="0">
                  <c:v>10720.212615130004</c:v>
                </c:pt>
                <c:pt idx="1">
                  <c:v>1331.0603116300008</c:v>
                </c:pt>
                <c:pt idx="2">
                  <c:v>682.48859644999993</c:v>
                </c:pt>
                <c:pt idx="3">
                  <c:v>-124.43680115999905</c:v>
                </c:pt>
                <c:pt idx="4">
                  <c:v>12609.324722050005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C0504D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6-87A6-4C68-88CD-2C6CC3BED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axId val="415018800"/>
        <c:axId val="408568416"/>
      </c:barChart>
      <c:catAx>
        <c:axId val="41501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08568416"/>
        <c:crosses val="autoZero"/>
        <c:auto val="1"/>
        <c:lblAlgn val="ctr"/>
        <c:lblOffset val="100"/>
        <c:noMultiLvlLbl val="0"/>
      </c:catAx>
      <c:valAx>
        <c:axId val="4085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150188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100" b="1" i="0" baseline="0">
                <a:effectLst/>
              </a:rPr>
              <a:t>Impuestos por clasificación MEFP</a:t>
            </a:r>
            <a:endParaRPr lang="es-GT" sz="1100">
              <a:effectLst/>
            </a:endParaRP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900" b="1" i="0" baseline="0">
                <a:effectLst/>
              </a:rPr>
              <a:t>Variación interanual acumulada </a:t>
            </a: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900" b="1" i="0" baseline="0">
                <a:effectLst/>
              </a:rPr>
              <a:t>a diciembre* </a:t>
            </a:r>
            <a:endParaRPr lang="es-GT" sz="900">
              <a:effectLst/>
            </a:endParaRP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11980660657118233"/>
          <c:y val="1.507744224279657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51727859860214098"/>
          <c:y val="0.16211363002701584"/>
          <c:w val="0.34934964456039425"/>
          <c:h val="0.765134619439715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1F497D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5F-4C09-B9BD-837B57113284}"/>
              </c:ext>
            </c:extLst>
          </c:dPt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E5F-4C09-B9BD-837B571132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Impuestos Totales</c:v>
                </c:pt>
                <c:pt idx="1">
                  <c:v>Impuestos sobre los bienes y servicios </c:v>
                </c:pt>
                <c:pt idx="2">
                  <c:v>Impuestos sobre el ingreso, las utilidades y las ganancias de capital </c:v>
                </c:pt>
                <c:pt idx="3">
                  <c:v>Impuestos sobre el comercio y las transacciones internacionales </c:v>
                </c:pt>
                <c:pt idx="4">
                  <c:v>Impuestos sobre la propiedad </c:v>
                </c:pt>
                <c:pt idx="5">
                  <c:v>Otros impuestos </c:v>
                </c:pt>
                <c:pt idx="6">
                  <c:v>Impuestos sobre la nómina y la fuerza de trabajo </c:v>
                </c:pt>
              </c:strCache>
            </c:strRef>
          </c:cat>
          <c:val>
            <c:numRef>
              <c:f>Hoja1!$B$2:$B$8</c:f>
              <c:numCache>
                <c:formatCode>#,##0.0_ ;[Red]\-#,##0.0\ </c:formatCode>
                <c:ptCount val="7"/>
                <c:pt idx="0" formatCode="_(* #,##0.00_);_(* \(#,##0.00\);_(* &quot;-&quot;??_);_(@_)">
                  <c:v>10720.212615129987</c:v>
                </c:pt>
                <c:pt idx="1">
                  <c:v>6876.7707163699888</c:v>
                </c:pt>
                <c:pt idx="2">
                  <c:v>3058.2690591799983</c:v>
                </c:pt>
                <c:pt idx="3" formatCode="_(* #,##0.00_);_(* \(#,##0.00\);_(* &quot;-&quot;??_);_(@_)">
                  <c:v>522.85903061999988</c:v>
                </c:pt>
                <c:pt idx="4">
                  <c:v>160.06578694999962</c:v>
                </c:pt>
                <c:pt idx="5">
                  <c:v>56.051037350000001</c:v>
                </c:pt>
                <c:pt idx="6">
                  <c:v>46.196984659999998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5F-4C09-B9BD-837B571132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EEECE1">
                  <a:lumMod val="50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FE5F-4C09-B9BD-837B57113284}"/>
              </c:ext>
            </c:extLst>
          </c:dPt>
          <c:dLbls>
            <c:dLbl>
              <c:idx val="0"/>
              <c:layout>
                <c:manualLayout>
                  <c:x val="0"/>
                  <c:y val="-7.025628667122419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5F-4C09-B9BD-837B571132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Impuestos Totales</c:v>
                </c:pt>
                <c:pt idx="1">
                  <c:v>Impuestos sobre los bienes y servicios </c:v>
                </c:pt>
                <c:pt idx="2">
                  <c:v>Impuestos sobre el ingreso, las utilidades y las ganancias de capital </c:v>
                </c:pt>
                <c:pt idx="3">
                  <c:v>Impuestos sobre el comercio y las transacciones internacionales </c:v>
                </c:pt>
                <c:pt idx="4">
                  <c:v>Impuestos sobre la propiedad </c:v>
                </c:pt>
                <c:pt idx="5">
                  <c:v>Otros impuestos </c:v>
                </c:pt>
                <c:pt idx="6">
                  <c:v>Impuestos sobre la nómina y la fuerza de trabajo </c:v>
                </c:pt>
              </c:strCache>
            </c:strRef>
          </c:cat>
          <c:val>
            <c:numRef>
              <c:f>Hoja1!$C$2:$C$8</c:f>
              <c:numCache>
                <c:formatCode>_(* #,##0.00_);_(* \(#,##0.00\);_(* "-"??_);_(@_)</c:formatCode>
                <c:ptCount val="7"/>
                <c:pt idx="0">
                  <c:v>18106.646140690009</c:v>
                </c:pt>
                <c:pt idx="1">
                  <c:v>9785.1025244600096</c:v>
                </c:pt>
                <c:pt idx="2">
                  <c:v>6787.3277313899998</c:v>
                </c:pt>
                <c:pt idx="3" formatCode="#,##0.0_ ;[Red]\-#,##0.0\ ">
                  <c:v>1096.8920946899998</c:v>
                </c:pt>
                <c:pt idx="4">
                  <c:v>208.50737527000047</c:v>
                </c:pt>
                <c:pt idx="5">
                  <c:v>139.62263281000003</c:v>
                </c:pt>
                <c:pt idx="6">
                  <c:v>89.193782069999941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5F-4C09-B9BD-837B57113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916956256"/>
        <c:axId val="1924152624"/>
      </c:barChart>
      <c:dateAx>
        <c:axId val="19169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924152624"/>
        <c:crosses val="autoZero"/>
        <c:auto val="0"/>
        <c:lblOffset val="100"/>
        <c:baseTimeUnit val="days"/>
      </c:dateAx>
      <c:valAx>
        <c:axId val="1924152624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916956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25179582072773"/>
          <c:y val="0.16516522645787327"/>
          <c:w val="0.18019696043692238"/>
          <c:h val="6.23517781701397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/>
              <a:t>Contribuciones</a:t>
            </a:r>
            <a:r>
              <a:rPr lang="es-GT" sz="1200" baseline="0"/>
              <a:t> Sociales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100" baseline="0"/>
              <a:t>Variación interanual acumulada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000" b="0" baseline="0"/>
              <a:t>En porcentajes</a:t>
            </a:r>
            <a:endParaRPr lang="es-GT" sz="1000" b="0"/>
          </a:p>
        </c:rich>
      </c:tx>
      <c:layout>
        <c:manualLayout>
          <c:xMode val="edge"/>
          <c:yMode val="edge"/>
          <c:x val="0.32807483895608763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5.0673161848705683E-2"/>
          <c:y val="0.28325670057666147"/>
          <c:w val="0.93416876106164515"/>
          <c:h val="0.48304117094852189"/>
        </c:manualLayout>
      </c:layou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ln w="31750" cap="rnd">
              <a:solidFill>
                <a:srgbClr val="9BBB59">
                  <a:lumMod val="50000"/>
                </a:srgbClr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4"/>
            <c:spPr>
              <a:solidFill>
                <a:srgbClr val="F79646">
                  <a:lumMod val="75000"/>
                </a:srgbClr>
              </a:solidFill>
              <a:ln w="15875">
                <a:solidFill>
                  <a:srgbClr val="002060"/>
                </a:solidFill>
                <a:round/>
              </a:ln>
              <a:effectLst/>
            </c:spPr>
          </c:marker>
          <c:dLbls>
            <c:spPr>
              <a:solidFill>
                <a:sysClr val="window" lastClr="FFFFFF"/>
              </a:solidFill>
              <a:ln w="9525" cap="flat" cmpd="sng" algn="ctr">
                <a:solidFill>
                  <a:srgbClr val="9BBB59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#,##0.0_ ;[Red]\-#,##0.0\ </c:formatCode>
                <c:ptCount val="12"/>
                <c:pt idx="0">
                  <c:v>5.5471286361882921</c:v>
                </c:pt>
                <c:pt idx="1">
                  <c:v>6.9022362929650027</c:v>
                </c:pt>
                <c:pt idx="2">
                  <c:v>5.3020196016226873</c:v>
                </c:pt>
                <c:pt idx="3">
                  <c:v>5.4948151546662549</c:v>
                </c:pt>
                <c:pt idx="4">
                  <c:v>5.7258737629836354</c:v>
                </c:pt>
                <c:pt idx="5">
                  <c:v>6.1498303215814953</c:v>
                </c:pt>
                <c:pt idx="6">
                  <c:v>5.892722760950786</c:v>
                </c:pt>
                <c:pt idx="7">
                  <c:v>6.0333277460410395</c:v>
                </c:pt>
                <c:pt idx="8">
                  <c:v>6.1918083862348983</c:v>
                </c:pt>
                <c:pt idx="9">
                  <c:v>6.6721802641611427</c:v>
                </c:pt>
                <c:pt idx="10">
                  <c:v>6.8307159509908066</c:v>
                </c:pt>
                <c:pt idx="11">
                  <c:v>7.2224062053475979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4-297C-418C-9E95-E7036CD84A2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ln w="22225" cap="rnd">
              <a:solidFill>
                <a:srgbClr val="C00000"/>
              </a:solidFill>
              <a:prstDash val="dash"/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triangle"/>
            <c:size val="4"/>
            <c:spPr>
              <a:solidFill>
                <a:srgbClr val="1F497D"/>
              </a:solidFill>
              <a:ln w="15875">
                <a:solidFill>
                  <a:sysClr val="windowText" lastClr="000000"/>
                </a:solidFill>
                <a:round/>
              </a:ln>
              <a:effectLst/>
            </c:spPr>
          </c:marker>
          <c:dLbls>
            <c:spPr>
              <a:solidFill>
                <a:sysClr val="window" lastClr="FFFFFF"/>
              </a:solidFill>
              <a:ln w="9525" cap="flat" cmpd="sng" algn="ctr">
                <a:solidFill>
                  <a:srgbClr val="C0504D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#,##0.0_ ;[Red]\-#,##0.0\ </c:formatCode>
                <c:ptCount val="12"/>
                <c:pt idx="0">
                  <c:v>0.66521545667026505</c:v>
                </c:pt>
                <c:pt idx="1">
                  <c:v>-0.75690197196672804</c:v>
                </c:pt>
                <c:pt idx="2">
                  <c:v>3.6817379284555862</c:v>
                </c:pt>
                <c:pt idx="3">
                  <c:v>7.5681852121656901</c:v>
                </c:pt>
                <c:pt idx="4">
                  <c:v>11.052752840400748</c:v>
                </c:pt>
                <c:pt idx="5">
                  <c:v>12.737994810906294</c:v>
                </c:pt>
                <c:pt idx="6">
                  <c:v>12.134119502918296</c:v>
                </c:pt>
                <c:pt idx="7">
                  <c:v>12.220417073974875</c:v>
                </c:pt>
                <c:pt idx="8">
                  <c:v>11.980869012439577</c:v>
                </c:pt>
                <c:pt idx="9">
                  <c:v>11.208001745450114</c:v>
                </c:pt>
                <c:pt idx="10">
                  <c:v>10.656617614145848</c:v>
                </c:pt>
                <c:pt idx="11">
                  <c:v>10.362701475584712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97C-418C-9E95-E7036CD84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  <c:majorUnit val="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83284288369063342"/>
          <c:w val="0.14964040062337378"/>
          <c:h val="0.15198430944307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ln>
                  <a:noFill/>
                </a:ln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Gasto Total</a:t>
            </a:r>
            <a:endParaRPr lang="es-GT" sz="1100" b="1">
              <a:solidFill>
                <a:sysClr val="windowText" lastClr="000000"/>
              </a:solidFill>
              <a:effectLst/>
            </a:endParaRPr>
          </a:p>
          <a:p>
            <a:pPr>
              <a:defRPr>
                <a:ln>
                  <a:noFill/>
                </a:ln>
              </a:defRPr>
            </a:pPr>
            <a:r>
              <a:rPr lang="en-US" sz="1050" b="1" i="0" baseline="0">
                <a:solidFill>
                  <a:sysClr val="windowText" lastClr="000000"/>
                </a:solidFill>
                <a:effectLst/>
              </a:rPr>
              <a:t>Variación internanual acumulada</a:t>
            </a:r>
            <a:endParaRPr lang="es-GT" sz="1050" b="1">
              <a:solidFill>
                <a:sysClr val="windowText" lastClr="000000"/>
              </a:solidFill>
              <a:effectLst/>
            </a:endParaRPr>
          </a:p>
          <a:p>
            <a:pPr>
              <a:defRPr>
                <a:ln>
                  <a:noFill/>
                </a:ln>
              </a:defRPr>
            </a:pPr>
            <a:r>
              <a:rPr lang="en-US" sz="1000" b="0" i="0" baseline="0">
                <a:solidFill>
                  <a:sysClr val="windowText" lastClr="000000"/>
                </a:solidFill>
                <a:effectLst/>
              </a:rPr>
              <a:t>En porcentaje</a:t>
            </a:r>
            <a:endParaRPr lang="es-GT" sz="10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27011001127294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ln>
                <a:noFill/>
              </a:ln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2019863681961221"/>
          <c:w val="0.98959481325520382"/>
          <c:h val="0.52378969644501239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 w="9525" cap="flat" cmpd="sng" algn="ctr">
              <a:solidFill>
                <a:sysClr val="windowText" lastClr="000000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1.85528756957328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5A-47B3-BCCE-FC305F958D06}"/>
                </c:ext>
              </c:extLst>
            </c:dLbl>
            <c:dLbl>
              <c:idx val="3"/>
              <c:layout>
                <c:manualLayout>
                  <c:x val="-2.1642679363705229E-3"/>
                  <c:y val="-3.71057513914656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5A-47B3-BCCE-FC305F958D06}"/>
                </c:ext>
              </c:extLst>
            </c:dLbl>
            <c:dLbl>
              <c:idx val="4"/>
              <c:layout>
                <c:manualLayout>
                  <c:x val="-4.3285358727410458E-3"/>
                  <c:y val="-3.71057513914656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5A-47B3-BCCE-FC305F958D06}"/>
                </c:ext>
              </c:extLst>
            </c:dLbl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_-* #,##0.0_-;\-* #,##0.0_-;_-* "-"??_-;_-@_-</c:formatCode>
                <c:ptCount val="12"/>
                <c:pt idx="0">
                  <c:v>10.945470637072606</c:v>
                </c:pt>
                <c:pt idx="1">
                  <c:v>8.910717857511564</c:v>
                </c:pt>
                <c:pt idx="2">
                  <c:v>4.8024233113648007</c:v>
                </c:pt>
                <c:pt idx="3">
                  <c:v>13.743479467160679</c:v>
                </c:pt>
                <c:pt idx="4">
                  <c:v>15.093960539454665</c:v>
                </c:pt>
                <c:pt idx="5">
                  <c:v>6.2573575988187802</c:v>
                </c:pt>
                <c:pt idx="6">
                  <c:v>6.2495542673638882</c:v>
                </c:pt>
                <c:pt idx="7">
                  <c:v>3.0437269683362134</c:v>
                </c:pt>
                <c:pt idx="8">
                  <c:v>0.55861043134701749</c:v>
                </c:pt>
                <c:pt idx="9">
                  <c:v>-0.61701352283881628</c:v>
                </c:pt>
                <c:pt idx="10">
                  <c:v>0.91360705953076327</c:v>
                </c:pt>
                <c:pt idx="11">
                  <c:v>0.4088159312268802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A-47B3-BCCE-FC305F958D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3"/>
        <c:axId val="1509281743"/>
        <c:axId val="344873055"/>
      </c:barChar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ln w="31750" cap="rnd" cmpd="sng" algn="ctr">
              <a:solidFill>
                <a:srgbClr val="9BBB59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7"/>
            <c:spPr>
              <a:solidFill>
                <a:srgbClr val="C0504D"/>
              </a:solidFill>
              <a:ln w="9525" cap="flat" cmpd="sng" algn="ctr">
                <a:solidFill>
                  <a:srgbClr val="9BBB59">
                    <a:lumMod val="50000"/>
                  </a:srgbClr>
                </a:solidFill>
                <a:round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marker>
          <c:dPt>
            <c:idx val="8"/>
            <c:marker>
              <c:symbol val="diamond"/>
              <c:size val="7"/>
              <c:spPr>
                <a:solidFill>
                  <a:srgbClr val="C0504D"/>
                </a:solidFill>
                <a:ln w="9525" cap="flat" cmpd="sng" algn="ctr">
                  <a:solidFill>
                    <a:srgbClr val="9BBB59">
                      <a:lumMod val="50000"/>
                    </a:srgbClr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15A-47B3-BCCE-FC305F958D06}"/>
              </c:ext>
            </c:extLst>
          </c:dPt>
          <c:dPt>
            <c:idx val="11"/>
            <c:marker>
              <c:symbol val="diamond"/>
              <c:size val="7"/>
              <c:spPr>
                <a:solidFill>
                  <a:srgbClr val="C0504D"/>
                </a:solidFill>
                <a:ln w="9525" cap="flat" cmpd="sng" algn="ctr">
                  <a:solidFill>
                    <a:srgbClr val="9BBB59">
                      <a:lumMod val="50000"/>
                    </a:srgbClr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15A-47B3-BCCE-FC305F958D06}"/>
              </c:ext>
            </c:extLst>
          </c:dPt>
          <c:dLbls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ysClr val="window" lastClr="FFFFFF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_-* #,##0.0_-;\-* #,##0.0_-;_-* "-"??_-;_-@_-</c:formatCode>
                <c:ptCount val="12"/>
                <c:pt idx="0">
                  <c:v>5.2151936584615699</c:v>
                </c:pt>
                <c:pt idx="1">
                  <c:v>12.709860498643799</c:v>
                </c:pt>
                <c:pt idx="2">
                  <c:v>14.592577666537609</c:v>
                </c:pt>
                <c:pt idx="3">
                  <c:v>9.913626406756304</c:v>
                </c:pt>
                <c:pt idx="4">
                  <c:v>11.107055572537483</c:v>
                </c:pt>
                <c:pt idx="5">
                  <c:v>12.522345326416229</c:v>
                </c:pt>
                <c:pt idx="6">
                  <c:v>12.728287458239151</c:v>
                </c:pt>
                <c:pt idx="7">
                  <c:v>13.565460680745979</c:v>
                </c:pt>
                <c:pt idx="8">
                  <c:v>14.448762661444192</c:v>
                </c:pt>
                <c:pt idx="9">
                  <c:v>16.787778235828842</c:v>
                </c:pt>
                <c:pt idx="10">
                  <c:v>15.246494579939895</c:v>
                </c:pt>
                <c:pt idx="11">
                  <c:v>14.857304373320934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15A-47B3-BCCE-FC305F958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  <c:min val="-8"/>
        </c:scaling>
        <c:delete val="0"/>
        <c:axPos val="l"/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805876243069447"/>
          <c:y val="0.87692041741535554"/>
          <c:w val="0.24923948135960339"/>
          <c:h val="9.0400879377257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i="0" baseline="0">
                <a:effectLst/>
              </a:rPr>
              <a:t>Gasto Total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100" b="1" i="0" baseline="0">
                <a:effectLst/>
              </a:rPr>
              <a:t>Variación interanual acumulada a diciembre 2022*</a:t>
            </a:r>
            <a:endParaRPr lang="es-GT" sz="1100"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1441682600382409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44757155116604691"/>
          <c:y val="0.14678636905028067"/>
          <c:w val="0.52374776049743299"/>
          <c:h val="0.783814161846186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2022*</c:v>
                </c:pt>
              </c:strCache>
            </c:strRef>
          </c:tx>
          <c:spPr>
            <a:solidFill>
              <a:srgbClr val="77933C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1"/>
          <c:dPt>
            <c:idx val="0"/>
            <c:invertIfNegative val="0"/>
            <c:bubble3D val="0"/>
            <c:spPr>
              <a:solidFill>
                <a:srgbClr val="4BACC6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DE00-4EA7-9C72-EB9A7ED39A9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E00-4EA7-9C72-EB9A7ED39A91}"/>
                </c:ext>
              </c:extLst>
            </c:dLbl>
            <c:dLbl>
              <c:idx val="7"/>
              <c:layout>
                <c:manualLayout>
                  <c:x val="0"/>
                  <c:y val="1.2405705554215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00-4EA7-9C72-EB9A7ED39A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Gasto total</c:v>
                </c:pt>
                <c:pt idx="1">
                  <c:v>Uso de bienes y servicios  </c:v>
                </c:pt>
                <c:pt idx="2">
                  <c:v>Subsidios </c:v>
                </c:pt>
                <c:pt idx="3">
                  <c:v>Otros gastos </c:v>
                </c:pt>
                <c:pt idx="4">
                  <c:v>Remuneración a los empleados </c:v>
                </c:pt>
                <c:pt idx="5">
                  <c:v>Prestaciones sociales </c:v>
                </c:pt>
                <c:pt idx="6">
                  <c:v>Intereses </c:v>
                </c:pt>
                <c:pt idx="7">
                  <c:v>Donaciones </c:v>
                </c:pt>
              </c:strCache>
            </c:strRef>
          </c:cat>
          <c:val>
            <c:numRef>
              <c:f>Hoja1!$B$2:$B$9</c:f>
              <c:numCache>
                <c:formatCode>#,##0.0_ ;[Red]\-#,##0.0\ </c:formatCode>
                <c:ptCount val="8"/>
                <c:pt idx="0">
                  <c:v>14382.525818689997</c:v>
                </c:pt>
                <c:pt idx="1">
                  <c:v>4948.0761232299992</c:v>
                </c:pt>
                <c:pt idx="2">
                  <c:v>2992.0087838099989</c:v>
                </c:pt>
                <c:pt idx="3">
                  <c:v>2236.166219499999</c:v>
                </c:pt>
                <c:pt idx="4">
                  <c:v>2122.3709922299968</c:v>
                </c:pt>
                <c:pt idx="5">
                  <c:v>1109.4951753900004</c:v>
                </c:pt>
                <c:pt idx="6">
                  <c:v>703.13453864000257</c:v>
                </c:pt>
                <c:pt idx="7">
                  <c:v>271.27398588999995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solidFill>
                      <a:sysClr val="windowText" lastClr="000000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>
                      <a:rot lat="0" lon="0" rev="1200000"/>
                    </a:lightRig>
                  </a:scene3d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3-DE00-4EA7-9C72-EB9A7ED39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6122768"/>
        <c:axId val="317412256"/>
      </c:barChart>
      <c:catAx>
        <c:axId val="59612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17412256"/>
        <c:crosses val="autoZero"/>
        <c:auto val="0"/>
        <c:lblAlgn val="ctr"/>
        <c:lblOffset val="100"/>
        <c:noMultiLvlLbl val="0"/>
      </c:catAx>
      <c:valAx>
        <c:axId val="317412256"/>
        <c:scaling>
          <c:orientation val="minMax"/>
        </c:scaling>
        <c:delete val="1"/>
        <c:axPos val="b"/>
        <c:numFmt formatCode="#,##0.0_ ;[Red]\-#,##0.0\ " sourceLinked="1"/>
        <c:majorTickMark val="none"/>
        <c:minorTickMark val="none"/>
        <c:tickLblPos val="nextTo"/>
        <c:crossAx val="5961227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6000">
              <a:schemeClr val="bg1">
                <a:lumMod val="95000"/>
              </a:schemeClr>
            </a:gs>
            <a:gs pos="100000">
              <a:schemeClr val="bg1"/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Inversión bruta en activos no financieros</a:t>
            </a:r>
            <a:endParaRPr lang="es-GT" sz="120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Cifra acumulada a diciembre de cada año</a:t>
            </a:r>
            <a:endParaRPr lang="es-GT" sz="110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n-US" sz="1000" b="0" i="0" baseline="0">
                <a:solidFill>
                  <a:sysClr val="windowText" lastClr="000000"/>
                </a:solidFill>
                <a:effectLst/>
              </a:rPr>
              <a:t>En millones de Quetzales</a:t>
            </a:r>
            <a:endParaRPr lang="es-GT" sz="10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466727876040544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8770328466223277"/>
          <c:w val="1"/>
          <c:h val="0.64901324227675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Inversión neta/bruta en activos no financieros 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Hoja1!$B$1:$F$1</c:f>
              <c:strCache>
                <c:ptCount val="5"/>
                <c:pt idx="0">
                  <c:v>2022*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strCache>
            </c:strRef>
          </c:cat>
          <c:val>
            <c:numRef>
              <c:f>Hoja1!$B$2:$F$2</c:f>
              <c:numCache>
                <c:formatCode>#,##0.0_ ;[Red]\-#,##0.0\ </c:formatCode>
                <c:ptCount val="5"/>
                <c:pt idx="0">
                  <c:v>16703.5938255</c:v>
                </c:pt>
                <c:pt idx="1">
                  <c:v>15067.195226720001</c:v>
                </c:pt>
                <c:pt idx="2">
                  <c:v>11476.31382892</c:v>
                </c:pt>
                <c:pt idx="3">
                  <c:v>15297.888943880002</c:v>
                </c:pt>
                <c:pt idx="4">
                  <c:v>11967.084124830002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7-4409-B6F7-70C99837F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557017296"/>
        <c:axId val="470887616"/>
      </c:barChart>
      <c:catAx>
        <c:axId val="155701729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70887616"/>
        <c:crosses val="autoZero"/>
        <c:auto val="1"/>
        <c:lblAlgn val="ctr"/>
        <c:lblOffset val="100"/>
        <c:noMultiLvlLbl val="0"/>
      </c:catAx>
      <c:valAx>
        <c:axId val="470887616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 ;[Red]\-#,##0.0\ " sourceLinked="1"/>
        <c:majorTickMark val="none"/>
        <c:minorTickMark val="none"/>
        <c:tickLblPos val="nextTo"/>
        <c:crossAx val="1557017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/>
              <a:t>Flujo</a:t>
            </a:r>
            <a:r>
              <a:rPr lang="es-GT" baseline="0"/>
              <a:t> mensual  </a:t>
            </a:r>
          </a:p>
        </c:rich>
      </c:tx>
      <c:layout>
        <c:manualLayout>
          <c:xMode val="edge"/>
          <c:yMode val="edge"/>
          <c:x val="0.381879044856059"/>
          <c:y val="3.682551890094241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1162374305930002"/>
          <c:w val="0.97198739067860607"/>
          <c:h val="0.59969417701511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Adquicición neta de activos financieros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DB0-4C32-8D4C-164597FE9E8F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0DB0-4C32-8D4C-164597FE9E8F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DB0-4C32-8D4C-164597FE9E8F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0DB0-4C32-8D4C-164597FE9E8F}"/>
              </c:ext>
            </c:extLst>
          </c:dPt>
          <c:dLbls>
            <c:dLbl>
              <c:idx val="0"/>
              <c:layout>
                <c:manualLayout>
                  <c:x val="0"/>
                  <c:y val="1.526135062953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B0-4C32-8D4C-164597FE9E8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B0-4C32-8D4C-164597FE9E8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B0-4C32-8D4C-164597FE9E8F}"/>
                </c:ext>
              </c:extLst>
            </c:dLbl>
            <c:dLbl>
              <c:idx val="3"/>
              <c:layout>
                <c:manualLayout>
                  <c:x val="0"/>
                  <c:y val="-2.7935674271766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B0-4C32-8D4C-164597FE9E8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B0-4C32-8D4C-164597FE9E8F}"/>
                </c:ext>
              </c:extLst>
            </c:dLbl>
            <c:dLbl>
              <c:idx val="5"/>
              <c:layout>
                <c:manualLayout>
                  <c:x val="0"/>
                  <c:y val="2.5062666957535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B0-4C32-8D4C-164597FE9E8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B0-4C32-8D4C-164597FE9E8F}"/>
                </c:ext>
              </c:extLst>
            </c:dLbl>
            <c:dLbl>
              <c:idx val="7"/>
              <c:layout>
                <c:manualLayout>
                  <c:x val="-7.0471349404377432E-17"/>
                  <c:y val="-1.3532903534675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B0-4C32-8D4C-164597FE9E8F}"/>
                </c:ext>
              </c:extLst>
            </c:dLbl>
            <c:dLbl>
              <c:idx val="8"/>
              <c:layout>
                <c:manualLayout>
                  <c:x val="4.4632033911386681E-3"/>
                  <c:y val="2.0484409632952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B0-4C32-8D4C-164597FE9E8F}"/>
                </c:ext>
              </c:extLst>
            </c:dLbl>
            <c:dLbl>
              <c:idx val="9"/>
              <c:layout>
                <c:manualLayout>
                  <c:x val="0"/>
                  <c:y val="1.41813668640257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B0-4C32-8D4C-164597FE9E8F}"/>
                </c:ext>
              </c:extLst>
            </c:dLbl>
            <c:dLbl>
              <c:idx val="10"/>
              <c:layout>
                <c:manualLayout>
                  <c:x val="0"/>
                  <c:y val="1.5261350629530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B0-4C32-8D4C-164597FE9E8F}"/>
                </c:ext>
              </c:extLst>
            </c:dLbl>
            <c:dLbl>
              <c:idx val="11"/>
              <c:layout>
                <c:manualLayout>
                  <c:x val="-7.68787238131847E-3"/>
                  <c:y val="1.196868807068121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B0-4C32-8D4C-164597FE9E8F}"/>
                </c:ext>
              </c:extLst>
            </c:dLbl>
            <c:dLbl>
              <c:idx val="12"/>
              <c:layout>
                <c:manualLayout>
                  <c:x val="3.843936190659094E-3"/>
                  <c:y val="5.1718542489993524E-3"/>
                </c:manualLayout>
              </c:layout>
              <c:numFmt formatCode="#,##0.0_ ;[Red]\-#,##0.0\ 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44628099173556E-2"/>
                      <c:h val="5.78778135048231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DB0-4C32-8D4C-164597FE9E8F}"/>
                </c:ext>
              </c:extLst>
            </c:dLbl>
            <c:numFmt formatCode="#,##0.0_ ;[Red]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Hoja1!$B$1:$N$1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</c:strCache>
            </c:strRef>
          </c:cat>
          <c:val>
            <c:numRef>
              <c:f>Hoja1!$B$2:$N$2</c:f>
              <c:numCache>
                <c:formatCode>#,##0.00</c:formatCode>
                <c:ptCount val="13"/>
                <c:pt idx="0">
                  <c:v>1764.0717185300005</c:v>
                </c:pt>
                <c:pt idx="1">
                  <c:v>399.54445638999999</c:v>
                </c:pt>
                <c:pt idx="2">
                  <c:v>2459.1931478699998</c:v>
                </c:pt>
                <c:pt idx="3">
                  <c:v>-86.12798229000002</c:v>
                </c:pt>
                <c:pt idx="4">
                  <c:v>1421.1202349799999</c:v>
                </c:pt>
                <c:pt idx="5">
                  <c:v>-4521.8308030500002</c:v>
                </c:pt>
                <c:pt idx="6">
                  <c:v>887.63187108999989</c:v>
                </c:pt>
                <c:pt idx="7">
                  <c:v>2447.1781593999999</c:v>
                </c:pt>
                <c:pt idx="8">
                  <c:v>2448.9134424200001</c:v>
                </c:pt>
                <c:pt idx="9">
                  <c:v>-1278.42997345</c:v>
                </c:pt>
                <c:pt idx="10">
                  <c:v>277.48776986999997</c:v>
                </c:pt>
                <c:pt idx="11">
                  <c:v>-6722.7984068300002</c:v>
                </c:pt>
                <c:pt idx="12">
                  <c:v>-504.04636506999941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E6B9B8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E-0DB0-4C32-8D4C-164597FE9E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3"/>
        <c:overlap val="7"/>
        <c:axId val="152970912"/>
        <c:axId val="152969984"/>
      </c:barChart>
      <c:catAx>
        <c:axId val="1529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69984"/>
        <c:crosses val="autoZero"/>
        <c:auto val="1"/>
        <c:lblAlgn val="ctr"/>
        <c:lblOffset val="100"/>
        <c:noMultiLvlLbl val="0"/>
      </c:catAx>
      <c:valAx>
        <c:axId val="152969984"/>
        <c:scaling>
          <c:orientation val="minMax"/>
        </c:scaling>
        <c:delete val="1"/>
        <c:axPos val="l"/>
        <c:numFmt formatCode="#,##0_ ;[Red]\-#,##0\ " sourceLinked="0"/>
        <c:majorTickMark val="out"/>
        <c:minorTickMark val="none"/>
        <c:tickLblPos val="nextTo"/>
        <c:crossAx val="152970912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000"/>
              <a:t>Por</a:t>
            </a:r>
            <a:r>
              <a:rPr lang="es-GT" sz="1000" baseline="0"/>
              <a:t> tipo de instrumento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s-GT" sz="1000" baseline="0"/>
              <a:t>Cifra acumulada</a:t>
            </a:r>
            <a:endParaRPr lang="es-GT" sz="1000"/>
          </a:p>
        </c:rich>
      </c:tx>
      <c:layout>
        <c:manualLayout>
          <c:xMode val="edge"/>
          <c:yMode val="edge"/>
          <c:x val="0.2247214090910839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17037876730925874"/>
          <c:y val="0.16954856595738596"/>
          <c:w val="0.3905950764775093"/>
          <c:h val="0.728747540858663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Títulos de deuda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20-4C89-AAB2-44663971EFE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20-4C89-AAB2-44663971EFE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20-4C89-AAB2-44663971EFEA}"/>
              </c:ext>
            </c:extLst>
          </c:dPt>
          <c:dLbls>
            <c:dLbl>
              <c:idx val="0"/>
              <c:layout>
                <c:manualLayout>
                  <c:x val="0.36162888044166891"/>
                  <c:y val="3.6311958735869058E-2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45814100823596"/>
                      <c:h val="0.119116757410768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Hoja1!$B$2</c:f>
              <c:numCache>
                <c:formatCode>"Q"#,##0.0</c:formatCode>
                <c:ptCount val="1"/>
                <c:pt idx="0">
                  <c:v>3218.3384024799993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20-4C89-AAB2-44663971EFEA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Participaciones de capital y en fondos de inversión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6574146981627298"/>
                  <c:y val="3.02480338777979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6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1819CB3-8AC4-495D-B9C7-57AEBB714522}" type="SERIESNAME">
                      <a:rPr lang="en-US" sz="600">
                        <a:solidFill>
                          <a:sysClr val="windowText" lastClr="000000"/>
                        </a:solidFill>
                      </a:rPr>
                      <a:pPr>
                        <a:defRPr sz="600">
                          <a:solidFill>
                            <a:sysClr val="windowText" lastClr="000000"/>
                          </a:solidFill>
                        </a:defRPr>
                      </a:pPr>
                      <a:t>[NOMBRE DE LA SERIE]</a:t>
                    </a:fld>
                    <a:endParaRPr lang="en-US" sz="600" baseline="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600">
                        <a:solidFill>
                          <a:sysClr val="windowText" lastClr="000000"/>
                        </a:solidFill>
                      </a:defRPr>
                    </a:pPr>
                    <a:fld id="{F0C5BD1F-CF89-4A0F-87AA-D79BB1DE09AF}" type="VALUE">
                      <a:rPr lang="en-US" sz="600">
                        <a:solidFill>
                          <a:sysClr val="windowText" lastClr="000000"/>
                        </a:solidFill>
                      </a:rPr>
                      <a:pPr>
                        <a:defRPr sz="600">
                          <a:solidFill>
                            <a:sysClr val="windowText" lastClr="000000"/>
                          </a:solidFill>
                        </a:defRPr>
                      </a:pPr>
                      <a:t>[VALOR]</a:t>
                    </a:fld>
                    <a:endParaRPr lang="es-GT"/>
                  </a:p>
                </c:rich>
              </c:tx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ctr"/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171101457145436"/>
                      <c:h val="0.159588626739261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ctr"/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Hoja1!$B$3</c:f>
              <c:numCache>
                <c:formatCode>"Q"#,##0.0</c:formatCode>
                <c:ptCount val="1"/>
                <c:pt idx="0">
                  <c:v>5.7677099999999992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20-4C89-AAB2-44663971EFEA}"/>
            </c:ext>
          </c:extLst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Préstamos 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5601660783781325"/>
                  <c:y val="-4.8390423520108874E-2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722825595076475"/>
                      <c:h val="0.115547489413188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Hoja1!$B$4</c:f>
              <c:numCache>
                <c:formatCode>"Q"#,##0.0</c:formatCode>
                <c:ptCount val="1"/>
                <c:pt idx="0">
                  <c:v>-100.38150404999999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20-4C89-AAB2-44663971EFEA}"/>
            </c:ext>
          </c:extLst>
        </c:ser>
        <c:ser>
          <c:idx val="3"/>
          <c:order val="3"/>
          <c:tx>
            <c:strRef>
              <c:f>Hoja1!$A$5</c:f>
              <c:strCache>
                <c:ptCount val="1"/>
                <c:pt idx="0">
                  <c:v>Otras cuentas por cobrar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6835233957824237"/>
                  <c:y val="-0.11796304500050016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ctr"/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9003529731197401"/>
                      <c:h val="0.110405323653962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ctr"/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Hoja1!$B$5</c:f>
              <c:numCache>
                <c:formatCode>"Q"#,##0.0</c:formatCode>
                <c:ptCount val="1"/>
                <c:pt idx="0">
                  <c:v>-805.75330041999996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20-4C89-AAB2-44663971EFEA}"/>
            </c:ext>
          </c:extLst>
        </c:ser>
        <c:ser>
          <c:idx val="4"/>
          <c:order val="4"/>
          <c:tx>
            <c:strRef>
              <c:f>Hoja1!$A$6</c:f>
              <c:strCache>
                <c:ptCount val="1"/>
                <c:pt idx="0">
                  <c:v>Billetes y monedas y depósitos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7006086523667292"/>
                  <c:y val="-9.3764856071756802E-2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872250882432795"/>
                      <c:h val="0.15849969751966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Hoja1!$B$6</c:f>
              <c:numCache>
                <c:formatCode>"Q"#,##0.0</c:formatCode>
                <c:ptCount val="1"/>
                <c:pt idx="0">
                  <c:v>-2822.0176730800003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120-4C89-AAB2-44663971E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49944351"/>
        <c:axId val="1149953951"/>
      </c:barChart>
      <c:catAx>
        <c:axId val="11499443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49953951"/>
        <c:crosses val="autoZero"/>
        <c:auto val="1"/>
        <c:lblAlgn val="ctr"/>
        <c:lblOffset val="100"/>
        <c:noMultiLvlLbl val="0"/>
      </c:catAx>
      <c:valAx>
        <c:axId val="1149953951"/>
        <c:scaling>
          <c:orientation val="minMax"/>
          <c:min val="-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49944351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ingreso 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un aumento del patrimonio neto como resultado de una transacción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gasto 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una disminución del patrimonio neto como resultado de una transacción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. Las transacciones en activos y pasivos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no generan cambios en el patrimonio neto.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ScaleY="8861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al concepto de gasto en la metodología nacional, sin embargo, existen diferencias.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los </a:t>
          </a:r>
          <a:r>
            <a:rPr lang="en-US" sz="900" b="0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internacionales,</a:t>
          </a: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una erogación es </a:t>
          </a: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 suma de los gastos y la inversión neta en activos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no financieros (MEFP 2014) 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importante entre el concepto de resultado fiscal con metodología nacional y los </a:t>
          </a:r>
          <a:r>
            <a:rPr lang="en-US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 internacionales, lo cual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hace que estos no sean perfectamente comparables.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800" b="1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internacionales existen los siguientes indicadores fiscales: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A6ACE3-485E-404D-A58A-7823AB008BFD}">
      <dgm:prSet custT="1"/>
      <dgm:spPr/>
      <dgm:t>
        <a:bodyPr/>
        <a:lstStyle/>
        <a:p>
          <a:pPr algn="just"/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966B43-D3D5-42FD-AE76-719ECE059C68}" type="parTrans" cxnId="{5E70EA89-E163-4B3E-926F-E5EFBF2F139F}">
      <dgm:prSet/>
      <dgm:spPr/>
      <dgm:t>
        <a:bodyPr/>
        <a:lstStyle/>
        <a:p>
          <a:endParaRPr lang="es-GT"/>
        </a:p>
      </dgm:t>
    </dgm:pt>
    <dgm:pt modelId="{5333C141-0D65-4830-8280-A0D9852BFBC6}" type="sibTrans" cxnId="{5E70EA89-E163-4B3E-926F-E5EFBF2F139F}">
      <dgm:prSet/>
      <dgm:spPr/>
      <dgm:t>
        <a:bodyPr/>
        <a:lstStyle/>
        <a:p>
          <a:endParaRPr lang="es-GT"/>
        </a:p>
      </dgm:t>
    </dgm:pt>
    <dgm:pt modelId="{DDC0D7A1-C052-4A6F-92AE-1E351FF9A75B}">
      <dgm:prSet custT="1"/>
      <dgm:spPr/>
      <dgm:t>
        <a:bodyPr/>
        <a:lstStyle/>
        <a:p>
          <a:pPr algn="just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1.) Resultado Operativo Neto (NOB) = </a:t>
          </a:r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</dgm:t>
    </dgm:pt>
    <dgm:pt modelId="{3493B001-C46C-4D6E-8C43-1F144DCF5867}" type="parTrans" cxnId="{F76FC0BB-E260-4052-8CD9-D167148DB746}">
      <dgm:prSet/>
      <dgm:spPr/>
      <dgm:t>
        <a:bodyPr/>
        <a:lstStyle/>
        <a:p>
          <a:endParaRPr lang="es-GT"/>
        </a:p>
      </dgm:t>
    </dgm:pt>
    <dgm:pt modelId="{C897CF63-1981-460B-8FBF-0A9B90548127}" type="sibTrans" cxnId="{F76FC0BB-E260-4052-8CD9-D167148DB746}">
      <dgm:prSet/>
      <dgm:spPr/>
      <dgm:t>
        <a:bodyPr/>
        <a:lstStyle/>
        <a:p>
          <a:endParaRPr lang="es-GT"/>
        </a:p>
      </dgm:t>
    </dgm:pt>
    <dgm:pt modelId="{4AAF067F-8991-4874-A53B-80AFD9DEAC70}">
      <dgm:prSet custT="1"/>
      <dgm:spPr/>
      <dgm:t>
        <a:bodyPr/>
        <a:lstStyle/>
        <a:p>
          <a:pPr algn="just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2.) Resultado Operativo Bruto (GOB) = </a:t>
          </a:r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</dgm:t>
    </dgm:pt>
    <dgm:pt modelId="{CD78D7DD-74D2-4467-8A80-C751B7FCBB6A}" type="parTrans" cxnId="{32531EC7-5E8D-42C3-BC8E-0485249B5C90}">
      <dgm:prSet/>
      <dgm:spPr/>
      <dgm:t>
        <a:bodyPr/>
        <a:lstStyle/>
        <a:p>
          <a:endParaRPr lang="es-GT"/>
        </a:p>
      </dgm:t>
    </dgm:pt>
    <dgm:pt modelId="{135C9C65-7566-42BF-BA19-EEB1D887E512}" type="sibTrans" cxnId="{32531EC7-5E8D-42C3-BC8E-0485249B5C90}">
      <dgm:prSet/>
      <dgm:spPr/>
      <dgm:t>
        <a:bodyPr/>
        <a:lstStyle/>
        <a:p>
          <a:endParaRPr lang="es-GT"/>
        </a:p>
      </dgm:t>
    </dgm:pt>
    <dgm:pt modelId="{84DBFA13-5332-4EB6-A74C-7D3F97044350}">
      <dgm:prSet custT="1"/>
      <dgm:spPr/>
      <dgm:t>
        <a:bodyPr/>
        <a:lstStyle/>
        <a:p>
          <a:pPr algn="just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3.) P</a:t>
          </a:r>
          <a:r>
            <a:rPr lang="en-US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réstamo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o Endeudamiento Neto (NLB) = </a:t>
          </a:r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</dgm:t>
    </dgm:pt>
    <dgm:pt modelId="{E38929A1-6B24-4A79-A47B-5F4CF8F76AA5}" type="parTrans" cxnId="{8705322A-40B7-44D7-BB58-88C27AE92746}">
      <dgm:prSet/>
      <dgm:spPr/>
      <dgm:t>
        <a:bodyPr/>
        <a:lstStyle/>
        <a:p>
          <a:endParaRPr lang="es-GT"/>
        </a:p>
      </dgm:t>
    </dgm:pt>
    <dgm:pt modelId="{6C0E31DC-DC6A-4951-B951-E7A962D0B6C1}" type="sibTrans" cxnId="{8705322A-40B7-44D7-BB58-88C27AE92746}">
      <dgm:prSet/>
      <dgm:spPr/>
      <dgm:t>
        <a:bodyPr/>
        <a:lstStyle/>
        <a:p>
          <a:endParaRPr lang="es-GT"/>
        </a:p>
      </dgm:t>
    </dgm:pt>
    <dgm:pt modelId="{BD4567F6-3394-4249-8246-15B8399EC30B}">
      <dgm:prSet custT="1"/>
      <dgm:spPr/>
      <dgm:t>
        <a:bodyPr/>
        <a:lstStyle/>
        <a:p>
          <a:pPr algn="just"/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0C412-1879-45FD-B656-8212E252AB7D}" type="parTrans" cxnId="{18A6B64C-E072-4A9A-8C44-B76E3024E7E2}">
      <dgm:prSet/>
      <dgm:spPr/>
      <dgm:t>
        <a:bodyPr/>
        <a:lstStyle/>
        <a:p>
          <a:endParaRPr lang="es-GT"/>
        </a:p>
      </dgm:t>
    </dgm:pt>
    <dgm:pt modelId="{1C668166-0EE6-4A44-A162-28CB6C675204}" type="sibTrans" cxnId="{18A6B64C-E072-4A9A-8C44-B76E3024E7E2}">
      <dgm:prSet/>
      <dgm:spPr/>
      <dgm:t>
        <a:bodyPr/>
        <a:lstStyle/>
        <a:p>
          <a:endParaRPr lang="es-GT"/>
        </a:p>
      </dgm:t>
    </dgm:pt>
    <dgm:pt modelId="{5E8C2B34-B2FE-4EF5-BFF7-CAF28A22E256}">
      <dgm:prSet custT="1"/>
      <dgm:spPr/>
      <dgm:t>
        <a:bodyPr/>
        <a:lstStyle/>
        <a:p>
          <a:pPr algn="just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</dgm:t>
    </dgm:pt>
    <dgm:pt modelId="{97075B03-CD2E-48F2-A87C-D2B6904D4F76}" type="parTrans" cxnId="{8B8499B9-6E26-4EA6-8B8A-B73FEFE233A8}">
      <dgm:prSet/>
      <dgm:spPr/>
      <dgm:t>
        <a:bodyPr/>
        <a:lstStyle/>
        <a:p>
          <a:endParaRPr lang="es-GT"/>
        </a:p>
      </dgm:t>
    </dgm:pt>
    <dgm:pt modelId="{F7B14CAA-31DB-45DF-892F-8A026856F662}" type="sibTrans" cxnId="{8B8499B9-6E26-4EA6-8B8A-B73FEFE233A8}">
      <dgm:prSet/>
      <dgm:spPr/>
      <dgm:t>
        <a:bodyPr/>
        <a:lstStyle/>
        <a:p>
          <a:endParaRPr lang="es-GT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45500" custScaleY="93796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E6E5B201-E1DB-42A1-AB10-773A5BB362A7}" type="presOf" srcId="{BD4567F6-3394-4249-8246-15B8399EC30B}" destId="{2536B8DD-1898-487D-8A92-C1351B85FE61}" srcOrd="0" destOrd="5" presId="urn:microsoft.com/office/officeart/2005/8/layout/vList5"/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5709FB28-95DF-4AA6-BBF9-2469471F9973}" type="presOf" srcId="{DDC0D7A1-C052-4A6F-92AE-1E351FF9A75B}" destId="{2536B8DD-1898-487D-8A92-C1351B85FE61}" srcOrd="0" destOrd="2" presId="urn:microsoft.com/office/officeart/2005/8/layout/vList5"/>
    <dgm:cxn modelId="{8705322A-40B7-44D7-BB58-88C27AE92746}" srcId="{68DFCB13-F778-41C4-88A6-8A8793BBCF6B}" destId="{84DBFA13-5332-4EB6-A74C-7D3F97044350}" srcOrd="4" destOrd="0" parTransId="{E38929A1-6B24-4A79-A47B-5F4CF8F76AA5}" sibTransId="{6C0E31DC-DC6A-4951-B951-E7A962D0B6C1}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A85E3645-D510-4117-B42D-185A89001117}" type="presOf" srcId="{5E8C2B34-B2FE-4EF5-BFF7-CAF28A22E256}" destId="{2536B8DD-1898-487D-8A92-C1351B85FE61}" srcOrd="0" destOrd="6" presId="urn:microsoft.com/office/officeart/2005/8/layout/vList5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18A6B64C-E072-4A9A-8C44-B76E3024E7E2}" srcId="{68DFCB13-F778-41C4-88A6-8A8793BBCF6B}" destId="{BD4567F6-3394-4249-8246-15B8399EC30B}" srcOrd="5" destOrd="0" parTransId="{C130C412-1879-45FD-B656-8212E252AB7D}" sibTransId="{1C668166-0EE6-4A44-A162-28CB6C675204}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E70EA89-E163-4B3E-926F-E5EFBF2F139F}" srcId="{68DFCB13-F778-41C4-88A6-8A8793BBCF6B}" destId="{BFA6ACE3-485E-404D-A58A-7823AB008BFD}" srcOrd="1" destOrd="0" parTransId="{0E966B43-D3D5-42FD-AE76-719ECE059C68}" sibTransId="{5333C141-0D65-4830-8280-A0D9852BFBC6}"/>
    <dgm:cxn modelId="{8B8499B9-6E26-4EA6-8B8A-B73FEFE233A8}" srcId="{68DFCB13-F778-41C4-88A6-8A8793BBCF6B}" destId="{5E8C2B34-B2FE-4EF5-BFF7-CAF28A22E256}" srcOrd="6" destOrd="0" parTransId="{97075B03-CD2E-48F2-A87C-D2B6904D4F76}" sibTransId="{F7B14CAA-31DB-45DF-892F-8A026856F662}"/>
    <dgm:cxn modelId="{F76FC0BB-E260-4052-8CD9-D167148DB746}" srcId="{68DFCB13-F778-41C4-88A6-8A8793BBCF6B}" destId="{DDC0D7A1-C052-4A6F-92AE-1E351FF9A75B}" srcOrd="2" destOrd="0" parTransId="{3493B001-C46C-4D6E-8C43-1F144DCF5867}" sibTransId="{C897CF63-1981-460B-8FBF-0A9B90548127}"/>
    <dgm:cxn modelId="{22BFE8BC-69E5-41E2-ABA2-BA2BB9FF112F}" type="presOf" srcId="{84DBFA13-5332-4EB6-A74C-7D3F97044350}" destId="{2536B8DD-1898-487D-8A92-C1351B85FE61}" srcOrd="0" destOrd="4" presId="urn:microsoft.com/office/officeart/2005/8/layout/vList5"/>
    <dgm:cxn modelId="{32531EC7-5E8D-42C3-BC8E-0485249B5C90}" srcId="{68DFCB13-F778-41C4-88A6-8A8793BBCF6B}" destId="{4AAF067F-8991-4874-A53B-80AFD9DEAC70}" srcOrd="3" destOrd="0" parTransId="{CD78D7DD-74D2-4467-8A80-C751B7FCBB6A}" sibTransId="{135C9C65-7566-42BF-BA19-EEB1D887E512}"/>
    <dgm:cxn modelId="{6F9FEAD2-7AA1-42D1-9C1E-5B6822AA959A}" type="presOf" srcId="{BFA6ACE3-485E-404D-A58A-7823AB008BFD}" destId="{2536B8DD-1898-487D-8A92-C1351B85FE61}" srcOrd="0" destOrd="1" presId="urn:microsoft.com/office/officeart/2005/8/layout/vList5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904AE9DD-3693-4922-8C23-127E608C7198}" type="presOf" srcId="{4AAF067F-8991-4874-A53B-80AFD9DEAC70}" destId="{2536B8DD-1898-487D-8A92-C1351B85FE61}" srcOrd="0" destOrd="3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524242" y="-733623"/>
          <a:ext cx="592257" cy="2208292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ingreso 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 aumento del patrimonio neto como resultado de una transacción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sp:txBody>
      <dsp:txXfrm rot="-5400000">
        <a:off x="716225" y="103306"/>
        <a:ext cx="2179380" cy="53443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15931" cy="740321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4949" y="34949"/>
        <a:ext cx="646033" cy="6704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524242" y="-733623"/>
          <a:ext cx="592257" cy="2208292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gasto 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una disminución del patrimonio neto como resultado de una transacción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sp:txBody>
      <dsp:txXfrm rot="-5400000">
        <a:off x="716225" y="103306"/>
        <a:ext cx="2179380" cy="53443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15931" cy="740321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4949" y="34949"/>
        <a:ext cx="646033" cy="6704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351669" y="-456038"/>
          <a:ext cx="1128688" cy="232431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 Las transacciones en activos y pasivos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generan cambios en el patrimonio neto.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753855" y="196874"/>
        <a:ext cx="2269218" cy="1018492"/>
      </dsp:txXfrm>
    </dsp:sp>
    <dsp:sp modelId="{07EE568B-6A23-417E-857A-D096AE89DF66}">
      <dsp:nvSpPr>
        <dsp:cNvPr id="0" name=""/>
        <dsp:cNvSpPr/>
      </dsp:nvSpPr>
      <dsp:spPr>
        <a:xfrm>
          <a:off x="0" y="80290"/>
          <a:ext cx="753546" cy="1250276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6785" y="117075"/>
        <a:ext cx="679976" cy="11767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340883" y="-435918"/>
          <a:ext cx="1170811" cy="2336781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al concepto de gasto en la metodología nacional, sin embargo, existen diferencias.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los </a:t>
          </a:r>
          <a:r>
            <a:rPr lang="en-US" sz="900" b="0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internacionales,</a:t>
          </a: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una erogación es </a:t>
          </a: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 suma de los gastos y la inversión neta en activos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financieros (MEFP 2014) 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757898" y="204221"/>
        <a:ext cx="2279627" cy="105650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57588" cy="1463514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6982" y="36982"/>
        <a:ext cx="683624" cy="13895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2797943" y="-1662930"/>
          <a:ext cx="1270282" cy="491526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importante entre el concepto de resultado fiscal con metodología nacional y los </a:t>
          </a:r>
          <a:r>
            <a:rPr lang="en-US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 internacionales, lo cual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hace que estos no sean perfectamente comparables.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800" b="1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 existen los siguientes indicadores fiscales: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1.) Resultado Operativo Neto (NOB) = </a:t>
          </a:r>
          <a:r>
            <a:rPr lang="en-US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2.) Resultado Operativo Bruto (GOB) = </a:t>
          </a:r>
          <a:r>
            <a:rPr lang="en-US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3.) P</a:t>
          </a:r>
          <a:r>
            <a:rPr lang="en-US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réstamo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 Endeudamiento Neto (NLB) = </a:t>
          </a:r>
          <a:r>
            <a:rPr lang="en-US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</dsp:txBody>
      <dsp:txXfrm rot="-5400000">
        <a:off x="975451" y="221572"/>
        <a:ext cx="4853256" cy="1146262"/>
      </dsp:txXfrm>
    </dsp:sp>
    <dsp:sp modelId="{07EE568B-6A23-417E-857A-D096AE89DF66}">
      <dsp:nvSpPr>
        <dsp:cNvPr id="0" name=""/>
        <dsp:cNvSpPr/>
      </dsp:nvSpPr>
      <dsp:spPr>
        <a:xfrm>
          <a:off x="0" y="49253"/>
          <a:ext cx="966384" cy="1489342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47175" y="96428"/>
        <a:ext cx="872034" cy="1394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0.81214</cdr:x>
      <cdr:y>0.91372</cdr:y>
    </cdr:from>
    <cdr:to>
      <cdr:x>1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63069" y="3503894"/>
          <a:ext cx="1101791" cy="3308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0.00247</cdr:x>
      <cdr:y>0.93274</cdr:y>
    </cdr:from>
    <cdr:to>
      <cdr:x>0.18837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31" y="4213554"/>
          <a:ext cx="1103262" cy="303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0.81689</cdr:x>
      <cdr:y>0.28701</cdr:y>
    </cdr:from>
    <cdr:to>
      <cdr:x>0.81689</cdr:x>
      <cdr:y>0.88429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4878109" y="520510"/>
          <a:ext cx="0" cy="1083203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0.51294</cdr:x>
      <cdr:y>0.81674</cdr:y>
    </cdr:from>
    <cdr:to>
      <cdr:x>0.85952</cdr:x>
      <cdr:y>0.81889</cdr:y>
    </cdr:to>
    <cdr:cxnSp macro="">
      <cdr:nvCxnSpPr>
        <cdr:cNvPr id="3" name="Conector recto 2"/>
        <cdr:cNvCxnSpPr/>
      </cdr:nvCxnSpPr>
      <cdr:spPr>
        <a:xfrm xmlns:a="http://schemas.openxmlformats.org/drawingml/2006/main" flipV="1">
          <a:off x="1514902" y="3321306"/>
          <a:ext cx="1023582" cy="8747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0.38731</cdr:x>
      <cdr:y>0.93199</cdr:y>
    </cdr:from>
    <cdr:to>
      <cdr:x>0.98852</cdr:x>
      <cdr:y>1</cdr:y>
    </cdr:to>
    <cdr:sp macro="" textlink="">
      <cdr:nvSpPr>
        <cdr:cNvPr id="4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55078" y="4530333"/>
          <a:ext cx="1637812" cy="3305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0.80981</cdr:x>
      <cdr:y>0.8563</cdr:y>
    </cdr:from>
    <cdr:to>
      <cdr:x>0.99767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9439" y="1787857"/>
          <a:ext cx="1101773" cy="300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0.00533</cdr:x>
      <cdr:y>0.8274</cdr:y>
    </cdr:from>
    <cdr:to>
      <cdr:x>0.19071</cdr:x>
      <cdr:y>0.975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77" y="1699147"/>
          <a:ext cx="1087840" cy="3031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0.4392</cdr:x>
      <cdr:y>0.82802</cdr:y>
    </cdr:from>
    <cdr:to>
      <cdr:x>0.96573</cdr:x>
      <cdr:y>0.82802</cdr:y>
    </cdr:to>
    <cdr:cxnSp macro="">
      <cdr:nvCxnSpPr>
        <cdr:cNvPr id="3" name="Conector recto 2"/>
        <cdr:cNvCxnSpPr/>
      </cdr:nvCxnSpPr>
      <cdr:spPr>
        <a:xfrm xmlns:a="http://schemas.openxmlformats.org/drawingml/2006/main" flipH="1">
          <a:off x="1166884" y="4282597"/>
          <a:ext cx="1398896" cy="0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0.58965</cdr:x>
      <cdr:y>0.94037</cdr:y>
    </cdr:from>
    <cdr:to>
      <cdr:x>1</cdr:x>
      <cdr:y>1</cdr:y>
    </cdr:to>
    <cdr:sp macro="" textlink="">
      <cdr:nvSpPr>
        <cdr:cNvPr id="4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66606" y="4626590"/>
          <a:ext cx="1090234" cy="2933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0.78614</cdr:x>
      <cdr:y>0.90863</cdr:y>
    </cdr:from>
    <cdr:to>
      <cdr:x>1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5916" y="2674307"/>
          <a:ext cx="1285629" cy="2689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0.8966</cdr:x>
      <cdr:y>0.09866</cdr:y>
    </cdr:from>
    <cdr:to>
      <cdr:x>0.97155</cdr:x>
      <cdr:y>0.87255</cdr:y>
    </cdr:to>
    <cdr:sp macro="" textlink="">
      <cdr:nvSpPr>
        <cdr:cNvPr id="2" name="Rectángulo: esquinas redondeadas 1"/>
        <cdr:cNvSpPr/>
      </cdr:nvSpPr>
      <cdr:spPr>
        <a:xfrm xmlns:a="http://schemas.openxmlformats.org/drawingml/2006/main">
          <a:off x="2962275" y="214313"/>
          <a:ext cx="247649" cy="1681162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alpha val="26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GT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0.8966</cdr:x>
      <cdr:y>0.09866</cdr:y>
    </cdr:from>
    <cdr:to>
      <cdr:x>0.97155</cdr:x>
      <cdr:y>0.87255</cdr:y>
    </cdr:to>
    <cdr:sp macro="" textlink="">
      <cdr:nvSpPr>
        <cdr:cNvPr id="2" name="Rectángulo: esquinas redondeadas 1"/>
        <cdr:cNvSpPr/>
      </cdr:nvSpPr>
      <cdr:spPr>
        <a:xfrm xmlns:a="http://schemas.openxmlformats.org/drawingml/2006/main">
          <a:off x="2962275" y="214313"/>
          <a:ext cx="247649" cy="1681162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alpha val="26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GT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de Análisis y Política Fiscal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5B47F-8224-4013-8EE9-B6C68F0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3150</Words>
  <Characters>17325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las Finanzas públicas</vt:lpstr>
      <vt:lpstr>Informe de las FinanzAs públicas</vt:lpstr>
    </vt:vector>
  </TitlesOfParts>
  <Company>Dirección de Análisis y Política Fiscal</Company>
  <LinksUpToDate>false</LinksUpToDate>
  <CharactersWithSpaces>20435</CharactersWithSpaces>
  <SharedDoc>false</SharedDoc>
  <HLinks>
    <vt:vector size="102" baseType="variant"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_Toc71108078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_Toc71108077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_Toc71108075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_Toc71108074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_Toc71108073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_Toc71108066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_Toc71108065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_Toc71108064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_Toc71108062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_Toc71108061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_Toc71108059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_Toc71108058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_Toc71108055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_Toc71108051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_Toc71108050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_Toc71108049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_Toc71108048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Finanzas públicas</dc:title>
  <dc:subject>Año 2022</dc:subject>
  <dc:creator>DAPF</dc:creator>
  <cp:keywords/>
  <dc:description/>
  <cp:lastModifiedBy>Carlos Herrera</cp:lastModifiedBy>
  <cp:revision>123</cp:revision>
  <cp:lastPrinted>2023-05-31T21:00:00Z</cp:lastPrinted>
  <dcterms:created xsi:type="dcterms:W3CDTF">2023-05-30T15:00:00Z</dcterms:created>
  <dcterms:modified xsi:type="dcterms:W3CDTF">2023-05-31T21:01:00Z</dcterms:modified>
  <cp:category>Ministerio de Finanzas Públicas</cp:category>
</cp:coreProperties>
</file>